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2" w:type="dxa"/>
        <w:tblInd w:w="5" w:type="dxa"/>
        <w:tblLook w:val="04A0" w:firstRow="1" w:lastRow="0" w:firstColumn="1" w:lastColumn="0" w:noHBand="0" w:noVBand="1"/>
      </w:tblPr>
      <w:tblGrid>
        <w:gridCol w:w="2972"/>
        <w:gridCol w:w="6090"/>
      </w:tblGrid>
      <w:tr w:rsidR="005A5739" w:rsidRPr="005A5739" w14:paraId="7E47478D" w14:textId="77777777" w:rsidTr="00876EF2">
        <w:tc>
          <w:tcPr>
            <w:tcW w:w="2972" w:type="dxa"/>
            <w:tcBorders>
              <w:top w:val="nil"/>
              <w:left w:val="nil"/>
              <w:bottom w:val="nil"/>
              <w:right w:val="nil"/>
            </w:tcBorders>
          </w:tcPr>
          <w:p w14:paraId="67AB7B73" w14:textId="77777777" w:rsidR="00876EF2" w:rsidRPr="005A5739" w:rsidRDefault="00876EF2" w:rsidP="00876EF2">
            <w:pPr>
              <w:pStyle w:val="Heading1"/>
              <w:spacing w:before="0" w:after="0"/>
              <w:jc w:val="center"/>
              <w:rPr>
                <w:rFonts w:eastAsia="Times New Roman"/>
                <w:lang w:eastAsia="en-AU"/>
              </w:rPr>
            </w:pPr>
            <w:r w:rsidRPr="005A5739">
              <w:rPr>
                <w:rFonts w:eastAsia="Times New Roman"/>
                <w:lang w:eastAsia="en-AU"/>
              </w:rPr>
              <w:t>CHÍNH PHỦ</w:t>
            </w:r>
          </w:p>
          <w:p w14:paraId="31AE070B" w14:textId="2EA51A24" w:rsidR="00876EF2" w:rsidRPr="005A5739" w:rsidRDefault="00876EF2" w:rsidP="00876EF2">
            <w:pPr>
              <w:jc w:val="center"/>
              <w:rPr>
                <w:sz w:val="16"/>
                <w:szCs w:val="16"/>
                <w:lang w:eastAsia="en-AU"/>
              </w:rPr>
            </w:pPr>
            <w:r w:rsidRPr="005A5739">
              <w:rPr>
                <w:sz w:val="16"/>
                <w:szCs w:val="16"/>
                <w:lang w:eastAsia="en-AU"/>
              </w:rPr>
              <w:t>___________</w:t>
            </w:r>
          </w:p>
          <w:p w14:paraId="161A42A4" w14:textId="0661E442" w:rsidR="00876EF2" w:rsidRPr="005A5739" w:rsidRDefault="00876EF2" w:rsidP="00876EF2">
            <w:pPr>
              <w:rPr>
                <w:lang w:eastAsia="en-AU"/>
              </w:rPr>
            </w:pPr>
          </w:p>
        </w:tc>
        <w:tc>
          <w:tcPr>
            <w:tcW w:w="6090" w:type="dxa"/>
            <w:tcBorders>
              <w:top w:val="nil"/>
              <w:left w:val="nil"/>
              <w:bottom w:val="nil"/>
              <w:right w:val="nil"/>
            </w:tcBorders>
          </w:tcPr>
          <w:p w14:paraId="3BA08B8B" w14:textId="77777777" w:rsidR="00876EF2" w:rsidRPr="005A5739" w:rsidRDefault="00876EF2" w:rsidP="00876EF2">
            <w:pPr>
              <w:pStyle w:val="Heading1"/>
              <w:spacing w:before="0" w:after="0"/>
              <w:jc w:val="center"/>
              <w:rPr>
                <w:rFonts w:eastAsia="Times New Roman"/>
                <w:lang w:eastAsia="en-AU"/>
              </w:rPr>
            </w:pPr>
            <w:r w:rsidRPr="005A5739">
              <w:rPr>
                <w:rFonts w:eastAsia="Times New Roman"/>
                <w:lang w:eastAsia="en-AU"/>
              </w:rPr>
              <w:t>CỘNG HÒA XÃ HỘI CHỦ NGHĨA VIỆT NAM</w:t>
            </w:r>
          </w:p>
          <w:p w14:paraId="73B4A8AF" w14:textId="77777777" w:rsidR="00876EF2" w:rsidRPr="005A5739" w:rsidRDefault="00876EF2" w:rsidP="00876EF2">
            <w:pPr>
              <w:jc w:val="center"/>
              <w:rPr>
                <w:b/>
                <w:lang w:eastAsia="en-AU"/>
              </w:rPr>
            </w:pPr>
            <w:r w:rsidRPr="005A5739">
              <w:rPr>
                <w:b/>
                <w:lang w:eastAsia="en-AU"/>
              </w:rPr>
              <w:t>Độc lập – Tự do – Hạnh phúc</w:t>
            </w:r>
          </w:p>
          <w:p w14:paraId="087B53B7" w14:textId="32E55206" w:rsidR="00876EF2" w:rsidRPr="005A5739" w:rsidRDefault="00876EF2" w:rsidP="00876EF2">
            <w:pPr>
              <w:jc w:val="center"/>
              <w:rPr>
                <w:b/>
                <w:sz w:val="16"/>
                <w:szCs w:val="16"/>
                <w:lang w:eastAsia="en-AU"/>
              </w:rPr>
            </w:pPr>
            <w:r w:rsidRPr="005A5739">
              <w:rPr>
                <w:b/>
                <w:sz w:val="16"/>
                <w:szCs w:val="16"/>
                <w:lang w:eastAsia="en-AU"/>
              </w:rPr>
              <w:t>____________________________</w:t>
            </w:r>
          </w:p>
        </w:tc>
      </w:tr>
      <w:tr w:rsidR="00876EF2" w:rsidRPr="005A5739" w14:paraId="0F5847C1" w14:textId="77777777" w:rsidTr="00876EF2">
        <w:tc>
          <w:tcPr>
            <w:tcW w:w="2972" w:type="dxa"/>
            <w:tcBorders>
              <w:top w:val="nil"/>
              <w:left w:val="nil"/>
              <w:bottom w:val="nil"/>
              <w:right w:val="nil"/>
            </w:tcBorders>
          </w:tcPr>
          <w:p w14:paraId="0F90F5A5" w14:textId="36DA5B80" w:rsidR="00876EF2" w:rsidRPr="005A5739" w:rsidRDefault="00876EF2" w:rsidP="00876EF2">
            <w:pPr>
              <w:pStyle w:val="Heading1"/>
              <w:spacing w:before="240" w:after="0"/>
              <w:jc w:val="center"/>
              <w:rPr>
                <w:rFonts w:eastAsia="Times New Roman"/>
                <w:b w:val="0"/>
                <w:bCs/>
                <w:lang w:eastAsia="en-AU"/>
              </w:rPr>
            </w:pPr>
            <w:r w:rsidRPr="005A5739">
              <w:rPr>
                <w:rFonts w:eastAsia="Times New Roman"/>
                <w:b w:val="0"/>
                <w:bCs/>
                <w:lang w:eastAsia="en-AU"/>
              </w:rPr>
              <w:t>Số</w:t>
            </w:r>
            <w:r w:rsidR="00086BB9" w:rsidRPr="005A5739">
              <w:rPr>
                <w:rFonts w:eastAsia="Times New Roman"/>
                <w:b w:val="0"/>
                <w:bCs/>
                <w:lang w:eastAsia="en-AU"/>
              </w:rPr>
              <w:t>:</w:t>
            </w:r>
            <w:r w:rsidRPr="005A5739">
              <w:rPr>
                <w:rFonts w:eastAsia="Times New Roman"/>
                <w:b w:val="0"/>
                <w:bCs/>
                <w:lang w:eastAsia="en-AU"/>
              </w:rPr>
              <w:t>…….</w:t>
            </w:r>
            <w:r w:rsidR="00C6725E" w:rsidRPr="005A5739">
              <w:rPr>
                <w:rFonts w:eastAsia="Times New Roman"/>
                <w:b w:val="0"/>
                <w:bCs/>
                <w:lang w:eastAsia="en-AU"/>
              </w:rPr>
              <w:t>/2024/NĐ-CP</w:t>
            </w:r>
            <w:r w:rsidRPr="005A5739">
              <w:rPr>
                <w:rFonts w:eastAsia="Times New Roman"/>
                <w:b w:val="0"/>
                <w:bCs/>
                <w:lang w:eastAsia="en-AU"/>
              </w:rPr>
              <w:t xml:space="preserve">     </w:t>
            </w:r>
          </w:p>
        </w:tc>
        <w:tc>
          <w:tcPr>
            <w:tcW w:w="6090" w:type="dxa"/>
            <w:tcBorders>
              <w:top w:val="nil"/>
              <w:left w:val="nil"/>
              <w:bottom w:val="nil"/>
              <w:right w:val="nil"/>
            </w:tcBorders>
          </w:tcPr>
          <w:p w14:paraId="472C7383" w14:textId="74A2D441" w:rsidR="00876EF2" w:rsidRPr="005A5739" w:rsidRDefault="00876EF2" w:rsidP="00147A1B">
            <w:pPr>
              <w:pStyle w:val="Heading1"/>
              <w:spacing w:before="240" w:after="0"/>
              <w:jc w:val="center"/>
              <w:rPr>
                <w:rFonts w:eastAsia="Times New Roman"/>
                <w:b w:val="0"/>
                <w:bCs/>
                <w:i/>
                <w:iCs/>
                <w:lang w:eastAsia="en-AU"/>
              </w:rPr>
            </w:pPr>
            <w:r w:rsidRPr="005A5739">
              <w:rPr>
                <w:rFonts w:eastAsia="Times New Roman"/>
                <w:b w:val="0"/>
                <w:bCs/>
                <w:lang w:eastAsia="en-AU"/>
              </w:rPr>
              <w:t xml:space="preserve">     </w:t>
            </w:r>
            <w:r w:rsidRPr="005A5739">
              <w:rPr>
                <w:rFonts w:eastAsia="Times New Roman"/>
                <w:b w:val="0"/>
                <w:bCs/>
                <w:i/>
                <w:iCs/>
                <w:lang w:eastAsia="en-AU"/>
              </w:rPr>
              <w:t>Hà Nội, ngày</w:t>
            </w:r>
            <w:r w:rsidR="00147A1B" w:rsidRPr="005A5739">
              <w:rPr>
                <w:rFonts w:eastAsia="Times New Roman"/>
                <w:b w:val="0"/>
                <w:bCs/>
                <w:i/>
                <w:iCs/>
                <w:lang w:eastAsia="en-AU"/>
              </w:rPr>
              <w:t xml:space="preserve">     </w:t>
            </w:r>
            <w:r w:rsidRPr="005A5739">
              <w:rPr>
                <w:rFonts w:eastAsia="Times New Roman"/>
                <w:b w:val="0"/>
                <w:bCs/>
                <w:i/>
                <w:iCs/>
                <w:lang w:eastAsia="en-AU"/>
              </w:rPr>
              <w:t xml:space="preserve"> tháng   </w:t>
            </w:r>
            <w:r w:rsidR="00147A1B" w:rsidRPr="005A5739">
              <w:rPr>
                <w:rFonts w:eastAsia="Times New Roman"/>
                <w:b w:val="0"/>
                <w:bCs/>
                <w:i/>
                <w:iCs/>
                <w:lang w:eastAsia="en-AU"/>
              </w:rPr>
              <w:t xml:space="preserve">   </w:t>
            </w:r>
            <w:r w:rsidRPr="005A5739">
              <w:rPr>
                <w:rFonts w:eastAsia="Times New Roman"/>
                <w:b w:val="0"/>
                <w:bCs/>
                <w:i/>
                <w:iCs/>
                <w:lang w:eastAsia="en-AU"/>
              </w:rPr>
              <w:t xml:space="preserve"> năm 2024</w:t>
            </w:r>
          </w:p>
        </w:tc>
      </w:tr>
    </w:tbl>
    <w:p w14:paraId="2E4D1B3A" w14:textId="03E184C7" w:rsidR="00876EF2" w:rsidRPr="005A5739" w:rsidRDefault="00F67454" w:rsidP="00876EF2">
      <w:pPr>
        <w:pStyle w:val="Heading1"/>
        <w:ind w:firstLine="709"/>
        <w:jc w:val="both"/>
        <w:rPr>
          <w:rFonts w:eastAsia="Times New Roman"/>
          <w:lang w:eastAsia="en-AU"/>
        </w:rPr>
      </w:pPr>
      <w:r>
        <w:rPr>
          <w:rFonts w:eastAsia="Times New Roman"/>
          <w:noProof/>
        </w:rPr>
        <mc:AlternateContent>
          <mc:Choice Requires="wps">
            <w:drawing>
              <wp:anchor distT="0" distB="0" distL="114300" distR="114300" simplePos="0" relativeHeight="251658244" behindDoc="0" locked="0" layoutInCell="1" allowOverlap="1" wp14:anchorId="7DAF7160" wp14:editId="1C76E436">
                <wp:simplePos x="0" y="0"/>
                <wp:positionH relativeFrom="column">
                  <wp:posOffset>-363211</wp:posOffset>
                </wp:positionH>
                <wp:positionV relativeFrom="paragraph">
                  <wp:posOffset>170252</wp:posOffset>
                </wp:positionV>
                <wp:extent cx="1747234" cy="565239"/>
                <wp:effectExtent l="0" t="0" r="24765" b="25400"/>
                <wp:wrapNone/>
                <wp:docPr id="140680637" name="Rectangle 12"/>
                <wp:cNvGraphicFramePr/>
                <a:graphic xmlns:a="http://schemas.openxmlformats.org/drawingml/2006/main">
                  <a:graphicData uri="http://schemas.microsoft.com/office/word/2010/wordprocessingShape">
                    <wps:wsp>
                      <wps:cNvSpPr/>
                      <wps:spPr>
                        <a:xfrm>
                          <a:off x="0" y="0"/>
                          <a:ext cx="1747234" cy="5652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672B9C" w14:textId="5B341441" w:rsidR="001B56E2" w:rsidRDefault="001B56E2" w:rsidP="00772C7C">
                            <w:pPr>
                              <w:jc w:val="center"/>
                              <w:rPr>
                                <w:b/>
                                <w:bCs/>
                              </w:rPr>
                            </w:pPr>
                            <w:r w:rsidRPr="00F67454">
                              <w:rPr>
                                <w:b/>
                                <w:bCs/>
                              </w:rPr>
                              <w:t>DỰ THẢO</w:t>
                            </w:r>
                          </w:p>
                          <w:p w14:paraId="4EBAD9B1" w14:textId="554C1CFD" w:rsidR="003C20C9" w:rsidRPr="00772C7C" w:rsidRDefault="003C20C9" w:rsidP="00772C7C">
                            <w:pPr>
                              <w:jc w:val="center"/>
                              <w:rPr>
                                <w:b/>
                                <w:bCs/>
                                <w:lang w:val="vi-VN"/>
                              </w:rPr>
                            </w:pPr>
                            <w:r>
                              <w:rPr>
                                <w:b/>
                                <w:bCs/>
                              </w:rPr>
                              <w:t xml:space="preserve"> </w:t>
                            </w:r>
                            <w:r w:rsidR="00B046D1">
                              <w:rPr>
                                <w:b/>
                                <w:bCs/>
                              </w:rPr>
                              <w:t>30</w:t>
                            </w:r>
                            <w:r>
                              <w:rPr>
                                <w:b/>
                                <w:bCs/>
                              </w:rPr>
                              <w:t>/11/2024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F7160" id="Rectangle 12" o:spid="_x0000_s1026" style="position:absolute;left:0;text-align:left;margin-left:-28.6pt;margin-top:13.4pt;width:137.6pt;height:4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" fillcolor="white [3201]" strokecolor="#70ad47 [3209]" strokeweight="1pt">
                <v:textbox>
                  <w:txbxContent>
                    <w:p w14:paraId="5F672B9C" w14:textId="5B341441" w:rsidR="001B56E2" w:rsidRDefault="001B56E2" w:rsidP="00772C7C">
                      <w:pPr>
                        <w:jc w:val="center"/>
                        <w:rPr>
                          <w:b/>
                          <w:bCs/>
                        </w:rPr>
                      </w:pPr>
                      <w:r w:rsidRPr="00F67454">
                        <w:rPr>
                          <w:b/>
                          <w:bCs/>
                        </w:rPr>
                        <w:t>DỰ THẢO</w:t>
                      </w:r>
                    </w:p>
                    <w:p w14:paraId="4EBAD9B1" w14:textId="554C1CFD" w:rsidR="003C20C9" w:rsidRPr="00772C7C" w:rsidRDefault="003C20C9" w:rsidP="00772C7C">
                      <w:pPr>
                        <w:jc w:val="center"/>
                        <w:rPr>
                          <w:b/>
                          <w:bCs/>
                          <w:lang w:val="vi-VN"/>
                        </w:rPr>
                      </w:pPr>
                      <w:r>
                        <w:rPr>
                          <w:b/>
                          <w:bCs/>
                        </w:rPr>
                        <w:t xml:space="preserve"> </w:t>
                      </w:r>
                      <w:r w:rsidR="00B046D1">
                        <w:rPr>
                          <w:b/>
                          <w:bCs/>
                        </w:rPr>
                        <w:t>30</w:t>
                      </w:r>
                      <w:r>
                        <w:rPr>
                          <w:b/>
                          <w:bCs/>
                        </w:rPr>
                        <w:t>/11/2024</w:t>
                      </w:r>
                    </w:p>
                  </w:txbxContent>
                </v:textbox>
              </v:rect>
            </w:pict>
          </mc:Fallback>
        </mc:AlternateContent>
      </w:r>
    </w:p>
    <w:p w14:paraId="0FA7C073" w14:textId="77777777" w:rsidR="00876EF2" w:rsidRPr="005A5739" w:rsidRDefault="00876EF2" w:rsidP="00876EF2">
      <w:pPr>
        <w:pStyle w:val="Heading1"/>
        <w:ind w:firstLine="709"/>
        <w:jc w:val="both"/>
        <w:rPr>
          <w:rFonts w:eastAsia="Times New Roman"/>
          <w:lang w:eastAsia="en-AU"/>
        </w:rPr>
      </w:pPr>
    </w:p>
    <w:p w14:paraId="457E9447" w14:textId="5F1A5124" w:rsidR="00876EF2" w:rsidRPr="005A5739" w:rsidRDefault="00876EF2" w:rsidP="00876EF2">
      <w:pPr>
        <w:pStyle w:val="Heading1"/>
        <w:jc w:val="center"/>
        <w:rPr>
          <w:rFonts w:eastAsia="Times New Roman"/>
          <w:lang w:eastAsia="en-AU"/>
        </w:rPr>
      </w:pPr>
      <w:r w:rsidRPr="005A5739">
        <w:rPr>
          <w:rFonts w:eastAsia="Times New Roman"/>
          <w:lang w:eastAsia="en-AU"/>
        </w:rPr>
        <w:t>NGHỊ ĐỊNH</w:t>
      </w:r>
    </w:p>
    <w:p w14:paraId="51C7C8B1" w14:textId="77777777" w:rsidR="00C258FE" w:rsidRDefault="005C6BC5" w:rsidP="005C6BC5">
      <w:pPr>
        <w:jc w:val="center"/>
        <w:rPr>
          <w:rFonts w:eastAsia="SimSun" w:cs="Times New Roman"/>
          <w:b/>
          <w:color w:val="000000"/>
          <w:spacing w:val="6"/>
          <w:szCs w:val="28"/>
          <w:lang w:val="pt-BR" w:eastAsia="zh-CN"/>
        </w:rPr>
      </w:pPr>
      <w:r>
        <w:rPr>
          <w:rFonts w:eastAsia="SimSun" w:cs="Times New Roman"/>
          <w:b/>
          <w:color w:val="000000"/>
          <w:spacing w:val="6"/>
          <w:szCs w:val="28"/>
          <w:lang w:val="pt-BR" w:eastAsia="zh-CN"/>
        </w:rPr>
        <w:t>S</w:t>
      </w:r>
      <w:r w:rsidRPr="005C6BC5">
        <w:rPr>
          <w:rFonts w:eastAsia="SimSun" w:cs="Times New Roman"/>
          <w:b/>
          <w:color w:val="000000"/>
          <w:spacing w:val="6"/>
          <w:szCs w:val="28"/>
          <w:lang w:val="pt-BR" w:eastAsia="zh-CN"/>
        </w:rPr>
        <w:t xml:space="preserve">ửa đổi, bổ sung một số điều của Nghị định số 146/2018/NĐ-CP </w:t>
      </w:r>
    </w:p>
    <w:p w14:paraId="0FF90F1E" w14:textId="5E25234A" w:rsidR="005C6BC5" w:rsidRPr="005C6BC5" w:rsidRDefault="005C6BC5" w:rsidP="005C6BC5">
      <w:pPr>
        <w:jc w:val="center"/>
        <w:rPr>
          <w:rFonts w:eastAsia="SimSun" w:cs="Times New Roman"/>
          <w:b/>
          <w:color w:val="000000"/>
          <w:spacing w:val="6"/>
          <w:szCs w:val="28"/>
          <w:lang w:val="pt-BR" w:eastAsia="zh-CN"/>
        </w:rPr>
      </w:pPr>
      <w:r w:rsidRPr="005C6BC5">
        <w:rPr>
          <w:rFonts w:eastAsia="SimSun" w:cs="Times New Roman"/>
          <w:b/>
          <w:color w:val="000000"/>
          <w:spacing w:val="6"/>
          <w:szCs w:val="28"/>
          <w:lang w:val="pt-BR" w:eastAsia="zh-CN"/>
        </w:rPr>
        <w:t>ngày 18</w:t>
      </w:r>
      <w:r w:rsidR="00C258FE">
        <w:rPr>
          <w:rFonts w:eastAsia="SimSun" w:cs="Times New Roman"/>
          <w:b/>
          <w:color w:val="000000"/>
          <w:spacing w:val="6"/>
          <w:szCs w:val="28"/>
          <w:lang w:val="pt-BR" w:eastAsia="zh-CN"/>
        </w:rPr>
        <w:t xml:space="preserve"> tháng </w:t>
      </w:r>
      <w:r w:rsidRPr="005C6BC5">
        <w:rPr>
          <w:rFonts w:eastAsia="SimSun" w:cs="Times New Roman"/>
          <w:b/>
          <w:color w:val="000000"/>
          <w:spacing w:val="6"/>
          <w:szCs w:val="28"/>
          <w:lang w:val="pt-BR" w:eastAsia="zh-CN"/>
        </w:rPr>
        <w:t>10</w:t>
      </w:r>
      <w:r w:rsidR="00C258FE">
        <w:rPr>
          <w:rFonts w:eastAsia="SimSun" w:cs="Times New Roman"/>
          <w:b/>
          <w:color w:val="000000"/>
          <w:spacing w:val="6"/>
          <w:szCs w:val="28"/>
          <w:lang w:val="pt-BR" w:eastAsia="zh-CN"/>
        </w:rPr>
        <w:t xml:space="preserve"> năm </w:t>
      </w:r>
      <w:r w:rsidRPr="005C6BC5">
        <w:rPr>
          <w:rFonts w:eastAsia="SimSun" w:cs="Times New Roman"/>
          <w:b/>
          <w:color w:val="000000"/>
          <w:spacing w:val="6"/>
          <w:szCs w:val="28"/>
          <w:lang w:val="pt-BR" w:eastAsia="zh-CN"/>
        </w:rPr>
        <w:t>2018 của Chính phủ quy định chi tiết và hướng dẫn biện pháp thi hành luật bảo hiểm y tế, Nghị định số 75/2023/NĐ-CP ngày 19</w:t>
      </w:r>
      <w:r w:rsidR="00C258FE">
        <w:rPr>
          <w:rFonts w:eastAsia="SimSun" w:cs="Times New Roman"/>
          <w:b/>
          <w:color w:val="000000"/>
          <w:spacing w:val="6"/>
          <w:szCs w:val="28"/>
          <w:lang w:val="pt-BR" w:eastAsia="zh-CN"/>
        </w:rPr>
        <w:t xml:space="preserve"> tháng </w:t>
      </w:r>
      <w:r w:rsidRPr="005C6BC5">
        <w:rPr>
          <w:rFonts w:eastAsia="SimSun" w:cs="Times New Roman"/>
          <w:b/>
          <w:color w:val="000000"/>
          <w:spacing w:val="6"/>
          <w:szCs w:val="28"/>
          <w:lang w:val="pt-BR" w:eastAsia="zh-CN"/>
        </w:rPr>
        <w:t>10</w:t>
      </w:r>
      <w:r w:rsidR="00C258FE">
        <w:rPr>
          <w:rFonts w:eastAsia="SimSun" w:cs="Times New Roman"/>
          <w:b/>
          <w:color w:val="000000"/>
          <w:spacing w:val="6"/>
          <w:szCs w:val="28"/>
          <w:lang w:val="pt-BR" w:eastAsia="zh-CN"/>
        </w:rPr>
        <w:t xml:space="preserve"> năm </w:t>
      </w:r>
      <w:r w:rsidRPr="005C6BC5">
        <w:rPr>
          <w:rFonts w:eastAsia="SimSun" w:cs="Times New Roman"/>
          <w:b/>
          <w:color w:val="000000"/>
          <w:spacing w:val="6"/>
          <w:szCs w:val="28"/>
          <w:lang w:val="pt-BR" w:eastAsia="zh-CN"/>
        </w:rPr>
        <w:t>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p>
    <w:p w14:paraId="5A73107B" w14:textId="77777777" w:rsidR="0089023E" w:rsidRPr="000B6B44" w:rsidRDefault="0089023E" w:rsidP="00463F76">
      <w:pPr>
        <w:pStyle w:val="Heading1"/>
        <w:ind w:firstLine="709"/>
        <w:jc w:val="both"/>
        <w:rPr>
          <w:b w:val="0"/>
          <w:i/>
          <w:iCs/>
          <w:lang w:val="pt-BR"/>
        </w:rPr>
      </w:pPr>
    </w:p>
    <w:p w14:paraId="78F907DA" w14:textId="36668676" w:rsidR="00463F76" w:rsidRPr="007830B5" w:rsidRDefault="00152688" w:rsidP="00345857">
      <w:pPr>
        <w:pStyle w:val="Heading1"/>
        <w:spacing w:before="0"/>
        <w:ind w:firstLine="709"/>
        <w:jc w:val="both"/>
        <w:rPr>
          <w:b w:val="0"/>
          <w:i/>
          <w:iCs/>
          <w:lang w:val="vi-VN"/>
        </w:rPr>
      </w:pPr>
      <w:r>
        <w:rPr>
          <w:b w:val="0"/>
          <w:i/>
          <w:iCs/>
          <w:lang w:val="vi-VN"/>
        </w:rPr>
        <w:t>C</w:t>
      </w:r>
      <w:r w:rsidR="00463F76" w:rsidRPr="00C408FE">
        <w:rPr>
          <w:b w:val="0"/>
          <w:i/>
          <w:iCs/>
          <w:lang w:val="vi-VN"/>
        </w:rPr>
        <w:t xml:space="preserve">ăn cứ Luật Bảo hiểm y tế ngày 14 </w:t>
      </w:r>
      <w:r w:rsidR="00463F76" w:rsidRPr="007830B5">
        <w:rPr>
          <w:b w:val="0"/>
          <w:i/>
          <w:iCs/>
          <w:lang w:val="vi-VN"/>
        </w:rPr>
        <w:t>tháng 11 năm 2008, Luật sửa đổi, bổ sung một số điều Luật Bảo hiểm y tế ngày 13 tháng 6 năm 2014 và Luật sửa đổi, bổ sung một số điều Luật Bảo hiểm y tế  ngày</w:t>
      </w:r>
      <w:r w:rsidR="00E71470" w:rsidRPr="000B6B44">
        <w:rPr>
          <w:b w:val="0"/>
          <w:i/>
          <w:iCs/>
          <w:lang w:val="pt-BR"/>
        </w:rPr>
        <w:t xml:space="preserve"> </w:t>
      </w:r>
      <w:r w:rsidR="00CD3024">
        <w:rPr>
          <w:b w:val="0"/>
          <w:i/>
          <w:iCs/>
          <w:lang w:val="pt-BR"/>
        </w:rPr>
        <w:t>2</w:t>
      </w:r>
      <w:r w:rsidR="003D0F50">
        <w:rPr>
          <w:b w:val="0"/>
          <w:i/>
          <w:iCs/>
          <w:lang w:val="pt-BR"/>
        </w:rPr>
        <w:t xml:space="preserve">7 </w:t>
      </w:r>
      <w:r w:rsidR="00463F76" w:rsidRPr="007830B5">
        <w:rPr>
          <w:b w:val="0"/>
          <w:i/>
          <w:iCs/>
          <w:lang w:val="vi-VN"/>
        </w:rPr>
        <w:t>tháng</w:t>
      </w:r>
      <w:r w:rsidR="00A46FCF" w:rsidRPr="000B6B44">
        <w:rPr>
          <w:b w:val="0"/>
          <w:i/>
          <w:iCs/>
          <w:lang w:val="pt-BR"/>
        </w:rPr>
        <w:t xml:space="preserve"> 11 </w:t>
      </w:r>
      <w:r w:rsidR="00A46FCF">
        <w:rPr>
          <w:b w:val="0"/>
          <w:i/>
          <w:iCs/>
          <w:lang w:val="pt-BR"/>
        </w:rPr>
        <w:t>n</w:t>
      </w:r>
      <w:r w:rsidR="00463F76" w:rsidRPr="007830B5">
        <w:rPr>
          <w:b w:val="0"/>
          <w:i/>
          <w:iCs/>
          <w:lang w:val="vi-VN"/>
        </w:rPr>
        <w:t>ăm 2024;</w:t>
      </w:r>
    </w:p>
    <w:p w14:paraId="04AF3521" w14:textId="77777777" w:rsidR="00463F76" w:rsidRPr="00C408FE" w:rsidRDefault="00463F76" w:rsidP="00345857">
      <w:pPr>
        <w:pStyle w:val="Heading1"/>
        <w:spacing w:before="0"/>
        <w:ind w:firstLine="709"/>
        <w:jc w:val="both"/>
        <w:rPr>
          <w:b w:val="0"/>
          <w:bCs/>
          <w:i/>
          <w:iCs/>
          <w:lang w:val="vi-VN"/>
        </w:rPr>
      </w:pPr>
      <w:r w:rsidRPr="00C408FE">
        <w:rPr>
          <w:b w:val="0"/>
          <w:bCs/>
          <w:i/>
          <w:iCs/>
          <w:lang w:val="vi-VN"/>
        </w:rPr>
        <w:t>Căn cứ Luật Tổ chức Chính phủ ngày 19 tháng 6 năm 2015; Luật sửa đổi, bổ sung một số điều của Luật Tổ chức Chính phủ và Luật Tổ chức chính quyền địa phương năm 2019;</w:t>
      </w:r>
    </w:p>
    <w:p w14:paraId="5095DB13" w14:textId="77777777" w:rsidR="00463F76" w:rsidRPr="00C408FE" w:rsidRDefault="00463F76" w:rsidP="00345857">
      <w:pPr>
        <w:pStyle w:val="Heading1"/>
        <w:spacing w:before="0"/>
        <w:ind w:firstLine="709"/>
        <w:jc w:val="both"/>
        <w:rPr>
          <w:b w:val="0"/>
          <w:i/>
          <w:iCs/>
          <w:lang w:val="vi-VN"/>
        </w:rPr>
      </w:pPr>
      <w:r w:rsidRPr="00C408FE">
        <w:rPr>
          <w:rFonts w:eastAsiaTheme="minorHAnsi"/>
          <w:b w:val="0"/>
          <w:i/>
          <w:iCs/>
          <w:lang w:val="vi-VN"/>
        </w:rPr>
        <w:t>Theo đề nghị của Bộ trưởng Bộ Y tế;</w:t>
      </w:r>
    </w:p>
    <w:p w14:paraId="20024890" w14:textId="2590215F" w:rsidR="00463F76" w:rsidRPr="00C408FE" w:rsidRDefault="00463F76" w:rsidP="00345857">
      <w:pPr>
        <w:pStyle w:val="Heading1"/>
        <w:spacing w:before="0"/>
        <w:ind w:firstLine="709"/>
        <w:jc w:val="both"/>
        <w:rPr>
          <w:b w:val="0"/>
          <w:i/>
          <w:iCs/>
          <w:lang w:val="vi-VN"/>
        </w:rPr>
      </w:pPr>
      <w:r w:rsidRPr="00C408FE">
        <w:rPr>
          <w:b w:val="0"/>
          <w:i/>
          <w:iCs/>
          <w:lang w:val="vi-VN"/>
        </w:rPr>
        <w:t xml:space="preserve">Chính phủ ban hành </w:t>
      </w:r>
      <w:r>
        <w:rPr>
          <w:b w:val="0"/>
          <w:i/>
          <w:iCs/>
          <w:lang w:val="vi-VN"/>
        </w:rPr>
        <w:t xml:space="preserve">Nghị định </w:t>
      </w:r>
      <w:r w:rsidR="000D45F9" w:rsidRPr="000B6B44">
        <w:rPr>
          <w:b w:val="0"/>
          <w:i/>
          <w:iCs/>
          <w:lang w:val="vi-VN"/>
        </w:rPr>
        <w:t>s</w:t>
      </w:r>
      <w:r w:rsidR="002672D0" w:rsidRPr="000B6B44">
        <w:rPr>
          <w:b w:val="0"/>
          <w:i/>
          <w:iCs/>
          <w:lang w:val="vi-VN"/>
        </w:rPr>
        <w:t>ửa đổi, bổ sung một số điều của Nghị định số 146/2018/NĐ-CP ngày 18</w:t>
      </w:r>
      <w:r w:rsidR="00622E3E" w:rsidRPr="00622E3E">
        <w:rPr>
          <w:b w:val="0"/>
          <w:i/>
          <w:iCs/>
          <w:lang w:val="vi-VN"/>
        </w:rPr>
        <w:t xml:space="preserve"> tháng </w:t>
      </w:r>
      <w:r w:rsidR="002672D0" w:rsidRPr="000B6B44">
        <w:rPr>
          <w:b w:val="0"/>
          <w:i/>
          <w:iCs/>
          <w:lang w:val="vi-VN"/>
        </w:rPr>
        <w:t>10</w:t>
      </w:r>
      <w:r w:rsidR="00622E3E" w:rsidRPr="00622E3E">
        <w:rPr>
          <w:b w:val="0"/>
          <w:i/>
          <w:iCs/>
          <w:lang w:val="vi-VN"/>
        </w:rPr>
        <w:t xml:space="preserve"> năm </w:t>
      </w:r>
      <w:r w:rsidR="002672D0" w:rsidRPr="000B6B44">
        <w:rPr>
          <w:b w:val="0"/>
          <w:i/>
          <w:iCs/>
          <w:lang w:val="vi-VN"/>
        </w:rPr>
        <w:t>2018 của Chính phủ quy định chi tiết và hướng dẫn biện pháp thi hành luật bảo hiểm y tế, Nghị định số 75/2023/NĐ-CP ngày 19</w:t>
      </w:r>
      <w:r w:rsidR="00C258FE" w:rsidRPr="00C258FE">
        <w:rPr>
          <w:b w:val="0"/>
          <w:i/>
          <w:iCs/>
          <w:lang w:val="vi-VN"/>
        </w:rPr>
        <w:t xml:space="preserve"> tháng </w:t>
      </w:r>
      <w:r w:rsidR="002672D0" w:rsidRPr="000B6B44">
        <w:rPr>
          <w:b w:val="0"/>
          <w:i/>
          <w:iCs/>
          <w:lang w:val="vi-VN"/>
        </w:rPr>
        <w:t>10</w:t>
      </w:r>
      <w:r w:rsidR="00C258FE" w:rsidRPr="00C258FE">
        <w:rPr>
          <w:b w:val="0"/>
          <w:i/>
          <w:iCs/>
          <w:lang w:val="vi-VN"/>
        </w:rPr>
        <w:t xml:space="preserve"> năm </w:t>
      </w:r>
      <w:r w:rsidR="002672D0" w:rsidRPr="000B6B44">
        <w:rPr>
          <w:b w:val="0"/>
          <w:i/>
          <w:iCs/>
          <w:lang w:val="vi-VN"/>
        </w:rPr>
        <w:t>2023 của Chính phủ sửa đổi, bổ sung một số điều Nghị định số 146/2018/NĐ-CP và quy định chi tiết một số điều của Luật số 51/2024/QH15 ngày 27 tháng 11 năm 2024 sửa đổi, bổ sung một số điều của Luật bảo hiểm y tế</w:t>
      </w:r>
      <w:r w:rsidRPr="00C408FE">
        <w:rPr>
          <w:b w:val="0"/>
          <w:i/>
          <w:iCs/>
          <w:lang w:val="vi-VN"/>
        </w:rPr>
        <w:t>.</w:t>
      </w:r>
    </w:p>
    <w:p w14:paraId="0930829A" w14:textId="0CF323ED" w:rsidR="00463F76" w:rsidRPr="0053559D" w:rsidRDefault="00463F76" w:rsidP="00345857">
      <w:pPr>
        <w:pStyle w:val="Heading1"/>
        <w:spacing w:before="0"/>
        <w:ind w:firstLine="709"/>
        <w:jc w:val="both"/>
        <w:rPr>
          <w:color w:val="000000" w:themeColor="text1"/>
          <w:lang w:val="vi-VN"/>
        </w:rPr>
      </w:pPr>
      <w:r w:rsidRPr="0053559D">
        <w:rPr>
          <w:color w:val="000000" w:themeColor="text1"/>
          <w:lang w:val="vi-VN"/>
        </w:rPr>
        <w:tab/>
        <w:t xml:space="preserve">Điều </w:t>
      </w:r>
      <w:r w:rsidR="007774E4" w:rsidRPr="0053559D">
        <w:rPr>
          <w:color w:val="000000" w:themeColor="text1"/>
          <w:lang w:val="vi-VN"/>
        </w:rPr>
        <w:t>1</w:t>
      </w:r>
      <w:r w:rsidRPr="0053559D">
        <w:rPr>
          <w:color w:val="000000" w:themeColor="text1"/>
          <w:lang w:val="vi-VN"/>
        </w:rPr>
        <w:t xml:space="preserve">. </w:t>
      </w:r>
      <w:r w:rsidR="005C6BC5" w:rsidRPr="0053559D">
        <w:rPr>
          <w:color w:val="000000" w:themeColor="text1"/>
          <w:lang w:val="vi-VN"/>
        </w:rPr>
        <w:t>Sửa đổi, bổ sung một số điều của Nghị định số 146/2018/NĐ-CP ngày 18</w:t>
      </w:r>
      <w:r w:rsidR="00622E3E" w:rsidRPr="0053559D">
        <w:rPr>
          <w:color w:val="000000" w:themeColor="text1"/>
          <w:lang w:val="vi-VN"/>
        </w:rPr>
        <w:t xml:space="preserve"> tháng </w:t>
      </w:r>
      <w:r w:rsidR="005C6BC5" w:rsidRPr="0053559D">
        <w:rPr>
          <w:color w:val="000000" w:themeColor="text1"/>
          <w:lang w:val="vi-VN"/>
        </w:rPr>
        <w:t>10</w:t>
      </w:r>
      <w:r w:rsidR="00622E3E" w:rsidRPr="0053559D">
        <w:rPr>
          <w:color w:val="000000" w:themeColor="text1"/>
          <w:lang w:val="vi-VN"/>
        </w:rPr>
        <w:t xml:space="preserve"> năm </w:t>
      </w:r>
      <w:r w:rsidR="005C6BC5" w:rsidRPr="0053559D">
        <w:rPr>
          <w:color w:val="000000" w:themeColor="text1"/>
          <w:lang w:val="vi-VN"/>
        </w:rPr>
        <w:t>2018 của Chính phủ quy định chi tiết và hướng dẫn biện pháp thi hành luật bảo hiểm y tế, Nghị định số 75/2023/NĐ-CP ngày 19</w:t>
      </w:r>
      <w:r w:rsidR="00C258FE" w:rsidRPr="0053559D">
        <w:rPr>
          <w:color w:val="000000" w:themeColor="text1"/>
          <w:lang w:val="vi-VN"/>
        </w:rPr>
        <w:t xml:space="preserve"> tháng </w:t>
      </w:r>
      <w:r w:rsidR="005C6BC5" w:rsidRPr="0053559D">
        <w:rPr>
          <w:color w:val="000000" w:themeColor="text1"/>
          <w:lang w:val="vi-VN"/>
        </w:rPr>
        <w:t>10</w:t>
      </w:r>
      <w:r w:rsidR="00C258FE" w:rsidRPr="0053559D">
        <w:rPr>
          <w:color w:val="000000" w:themeColor="text1"/>
          <w:lang w:val="vi-VN"/>
        </w:rPr>
        <w:t xml:space="preserve"> năm </w:t>
      </w:r>
      <w:r w:rsidR="005C6BC5" w:rsidRPr="0053559D">
        <w:rPr>
          <w:color w:val="000000" w:themeColor="text1"/>
          <w:lang w:val="vi-VN"/>
        </w:rPr>
        <w:t>2023 của Chính phủ sửa đổi, bổ sung một số điều Nghị định số 146/2018/NĐ-CP</w:t>
      </w:r>
      <w:r w:rsidR="00CF13B8" w:rsidRPr="0053559D">
        <w:rPr>
          <w:color w:val="000000" w:themeColor="text1"/>
          <w:lang w:val="vi-VN"/>
        </w:rPr>
        <w:t xml:space="preserve"> và quy định chi tiết một số điều của Luật số 51/2024/QH15 ngày 27 tháng 11 năm 2024 sửa đổi, bổ sung một số điều của Luật bảo hiểm y tế</w:t>
      </w:r>
      <w:r w:rsidR="00CF13B8" w:rsidRPr="0053559D" w:rsidDel="005C6BC5">
        <w:rPr>
          <w:color w:val="000000" w:themeColor="text1"/>
          <w:lang w:val="vi-VN"/>
        </w:rPr>
        <w:t xml:space="preserve"> </w:t>
      </w:r>
    </w:p>
    <w:p w14:paraId="7C1DB06D" w14:textId="37312E86" w:rsidR="006E2F41" w:rsidRPr="002E2DF5" w:rsidRDefault="009B529F" w:rsidP="00345857">
      <w:pPr>
        <w:pStyle w:val="Heading2"/>
        <w:spacing w:before="0"/>
        <w:ind w:firstLine="709"/>
        <w:rPr>
          <w:color w:val="000000" w:themeColor="text1"/>
          <w:lang w:val="vi-VN"/>
        </w:rPr>
      </w:pPr>
      <w:r w:rsidRPr="002E2DF5">
        <w:rPr>
          <w:color w:val="000000" w:themeColor="text1"/>
          <w:lang w:val="vi-VN"/>
        </w:rPr>
        <w:t>1</w:t>
      </w:r>
      <w:r w:rsidR="005E0176" w:rsidRPr="002E2DF5">
        <w:rPr>
          <w:color w:val="000000" w:themeColor="text1"/>
          <w:lang w:val="vi-VN"/>
        </w:rPr>
        <w:t xml:space="preserve">. </w:t>
      </w:r>
      <w:r w:rsidR="006E2F41" w:rsidRPr="002E2DF5">
        <w:rPr>
          <w:color w:val="000000" w:themeColor="text1"/>
          <w:lang w:val="vi-VN"/>
        </w:rPr>
        <w:t xml:space="preserve">Sửa </w:t>
      </w:r>
      <w:r w:rsidR="00F856ED" w:rsidRPr="002E2DF5">
        <w:rPr>
          <w:color w:val="000000" w:themeColor="text1"/>
          <w:lang w:val="vi-VN"/>
        </w:rPr>
        <w:t>đổi</w:t>
      </w:r>
      <w:r w:rsidR="00821B80" w:rsidRPr="002E2DF5">
        <w:rPr>
          <w:color w:val="000000" w:themeColor="text1"/>
          <w:lang w:val="vi-VN"/>
        </w:rPr>
        <w:t>, bổ sung</w:t>
      </w:r>
      <w:r w:rsidR="00F856ED" w:rsidRPr="002E2DF5">
        <w:rPr>
          <w:color w:val="000000" w:themeColor="text1"/>
          <w:lang w:val="vi-VN"/>
        </w:rPr>
        <w:t xml:space="preserve"> </w:t>
      </w:r>
      <w:r w:rsidR="00821B80" w:rsidRPr="002E2DF5">
        <w:rPr>
          <w:color w:val="000000" w:themeColor="text1"/>
          <w:lang w:val="vi-VN"/>
        </w:rPr>
        <w:t>Điều 14</w:t>
      </w:r>
      <w:r w:rsidR="009127A7" w:rsidRPr="002E2DF5">
        <w:rPr>
          <w:color w:val="000000" w:themeColor="text1"/>
          <w:lang w:val="vi-VN"/>
        </w:rPr>
        <w:t xml:space="preserve"> như sau</w:t>
      </w:r>
      <w:r w:rsidR="00821B80" w:rsidRPr="002E2DF5">
        <w:rPr>
          <w:color w:val="000000" w:themeColor="text1"/>
          <w:lang w:val="vi-VN"/>
        </w:rPr>
        <w:t>:</w:t>
      </w:r>
    </w:p>
    <w:p w14:paraId="674A6EB0" w14:textId="6593A469" w:rsidR="003F6812" w:rsidRPr="002E2DF5" w:rsidRDefault="0055338C" w:rsidP="00345857">
      <w:pPr>
        <w:spacing w:after="120"/>
        <w:ind w:firstLine="709"/>
        <w:jc w:val="both"/>
        <w:rPr>
          <w:rFonts w:eastAsia="Times New Roman" w:cs="Times New Roman"/>
          <w:bCs/>
          <w:color w:val="000000" w:themeColor="text1"/>
          <w:szCs w:val="28"/>
          <w:lang w:val="vi-VN" w:eastAsia="en-AU"/>
        </w:rPr>
      </w:pPr>
      <w:bookmarkStart w:id="0" w:name="_Hlk183137247"/>
      <w:bookmarkStart w:id="1" w:name="_Hlk183137268"/>
      <w:r w:rsidRPr="002E2DF5">
        <w:rPr>
          <w:rFonts w:eastAsia="Times New Roman" w:cs="Times New Roman"/>
          <w:bCs/>
          <w:color w:val="000000" w:themeColor="text1"/>
          <w:szCs w:val="28"/>
          <w:lang w:val="vi-VN" w:eastAsia="en-AU"/>
        </w:rPr>
        <w:t>“</w:t>
      </w:r>
      <w:bookmarkStart w:id="2" w:name="dieu_14"/>
      <w:r w:rsidR="003F6812" w:rsidRPr="002E2DF5">
        <w:rPr>
          <w:rFonts w:eastAsia="Times New Roman" w:cs="Times New Roman"/>
          <w:b/>
          <w:bCs/>
          <w:color w:val="000000" w:themeColor="text1"/>
          <w:szCs w:val="28"/>
          <w:lang w:val="vi-VN" w:eastAsia="en-AU"/>
        </w:rPr>
        <w:t>Điều 14. Mức hưởng bảo hiểm y tế đối với các trường hợp quy định tại Điều 22 của Luật bảo hiểm y tế</w:t>
      </w:r>
      <w:bookmarkEnd w:id="2"/>
      <w:r w:rsidR="003F6812" w:rsidRPr="002E2DF5">
        <w:rPr>
          <w:rFonts w:eastAsia="Times New Roman" w:cs="Times New Roman"/>
          <w:bCs/>
          <w:color w:val="000000" w:themeColor="text1"/>
          <w:szCs w:val="28"/>
          <w:lang w:val="vi-VN" w:eastAsia="en-AU"/>
        </w:rPr>
        <w:t xml:space="preserve"> </w:t>
      </w:r>
    </w:p>
    <w:p w14:paraId="4400011E" w14:textId="5B10D494" w:rsidR="00E46597" w:rsidRPr="002E2DF5" w:rsidRDefault="00240CE2" w:rsidP="00345857">
      <w:pPr>
        <w:spacing w:after="120"/>
        <w:ind w:firstLine="709"/>
        <w:jc w:val="both"/>
        <w:rPr>
          <w:bCs/>
          <w:color w:val="000000" w:themeColor="text1"/>
          <w:szCs w:val="28"/>
          <w:lang w:val="vi-VN"/>
        </w:rPr>
      </w:pPr>
      <w:r w:rsidRPr="002E2DF5">
        <w:rPr>
          <w:bCs/>
          <w:color w:val="000000" w:themeColor="text1"/>
          <w:szCs w:val="28"/>
          <w:lang w:val="vi-VN" w:eastAsia="en-AU"/>
        </w:rPr>
        <w:lastRenderedPageBreak/>
        <w:t xml:space="preserve">1. </w:t>
      </w:r>
      <w:r w:rsidR="00D6301E" w:rsidRPr="002E2DF5">
        <w:rPr>
          <w:bCs/>
          <w:color w:val="000000" w:themeColor="text1"/>
          <w:szCs w:val="28"/>
          <w:lang w:val="vi-VN" w:eastAsia="en-AU"/>
        </w:rPr>
        <w:t xml:space="preserve">Các đối tượng định tại </w:t>
      </w:r>
      <w:r w:rsidR="00040151" w:rsidRPr="002E2DF5">
        <w:rPr>
          <w:bCs/>
          <w:color w:val="000000" w:themeColor="text1"/>
          <w:szCs w:val="28"/>
          <w:lang w:val="vi-VN" w:eastAsia="en-AU"/>
        </w:rPr>
        <w:t xml:space="preserve">các </w:t>
      </w:r>
      <w:r w:rsidR="00D6301E" w:rsidRPr="002E2DF5">
        <w:rPr>
          <w:bCs/>
          <w:color w:val="000000" w:themeColor="text1"/>
          <w:szCs w:val="28"/>
          <w:lang w:val="vi-VN" w:eastAsia="en-AU"/>
        </w:rPr>
        <w:t xml:space="preserve">khoản 3, 4, 5, 8, 9, 11, 17, 20 Điều 3 Nghị định này được hưởng </w:t>
      </w:r>
      <w:r w:rsidR="00EE4D02" w:rsidRPr="002E2DF5">
        <w:rPr>
          <w:bCs/>
          <w:color w:val="000000" w:themeColor="text1"/>
          <w:szCs w:val="28"/>
          <w:lang w:val="vi-VN" w:eastAsia="en-AU"/>
        </w:rPr>
        <w:t xml:space="preserve">100% chi phí khám bệnh, chữa bệnh </w:t>
      </w:r>
      <w:r w:rsidR="00D6301E" w:rsidRPr="002E2DF5">
        <w:rPr>
          <w:bCs/>
          <w:color w:val="000000" w:themeColor="text1"/>
          <w:szCs w:val="28"/>
          <w:lang w:val="vi-VN" w:eastAsia="en-AU"/>
        </w:rPr>
        <w:t xml:space="preserve">theo quy định tại </w:t>
      </w:r>
      <w:r w:rsidR="00040151" w:rsidRPr="002E2DF5">
        <w:rPr>
          <w:bCs/>
          <w:color w:val="000000" w:themeColor="text1"/>
          <w:szCs w:val="28"/>
          <w:lang w:val="vi-VN" w:eastAsia="en-AU"/>
        </w:rPr>
        <w:t xml:space="preserve">điểm a khoản 1 </w:t>
      </w:r>
      <w:r w:rsidR="00D70653" w:rsidRPr="002E2DF5">
        <w:rPr>
          <w:bCs/>
          <w:color w:val="000000" w:themeColor="text1"/>
          <w:szCs w:val="28"/>
          <w:lang w:val="vi-VN" w:eastAsia="en-AU"/>
        </w:rPr>
        <w:t>Điều 22 Luật Bảo hiểm y tế;</w:t>
      </w:r>
    </w:p>
    <w:p w14:paraId="43E9D2BC" w14:textId="2B00B510" w:rsidR="00040151" w:rsidRPr="002E2DF5" w:rsidRDefault="00040151"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2. Các đối tượng được hưởng 100% chi phí khám bệnh, chữa bệnh theo quy định tại điểm a khoản 1 Điều 22 Luật Bảo hiểm y tế và không áp dụng tỷ lệ thanh toán theo quy định tại </w:t>
      </w:r>
      <w:r w:rsidR="00353E79" w:rsidRPr="002E2DF5">
        <w:rPr>
          <w:bCs/>
          <w:color w:val="000000" w:themeColor="text1"/>
          <w:szCs w:val="28"/>
          <w:lang w:val="vi-VN" w:eastAsia="en-AU"/>
        </w:rPr>
        <w:t xml:space="preserve">điểm c khoản </w:t>
      </w:r>
      <w:r w:rsidR="00F51E48" w:rsidRPr="002E2DF5">
        <w:rPr>
          <w:bCs/>
          <w:color w:val="000000" w:themeColor="text1"/>
          <w:szCs w:val="28"/>
          <w:lang w:val="vi-VN" w:eastAsia="en-AU"/>
        </w:rPr>
        <w:t>2</w:t>
      </w:r>
      <w:r w:rsidR="00353E79" w:rsidRPr="002E2DF5">
        <w:rPr>
          <w:bCs/>
          <w:color w:val="000000" w:themeColor="text1"/>
          <w:szCs w:val="28"/>
          <w:lang w:val="vi-VN" w:eastAsia="en-AU"/>
        </w:rPr>
        <w:t xml:space="preserve"> Đ</w:t>
      </w:r>
      <w:r w:rsidRPr="002E2DF5">
        <w:rPr>
          <w:bCs/>
          <w:color w:val="000000" w:themeColor="text1"/>
          <w:szCs w:val="28"/>
          <w:lang w:val="vi-VN" w:eastAsia="en-AU"/>
        </w:rPr>
        <w:t>iều</w:t>
      </w:r>
      <w:r w:rsidR="00634E0E" w:rsidRPr="002E2DF5">
        <w:rPr>
          <w:bCs/>
          <w:color w:val="000000" w:themeColor="text1"/>
          <w:szCs w:val="28"/>
          <w:lang w:val="vi-VN" w:eastAsia="en-AU"/>
        </w:rPr>
        <w:t xml:space="preserve"> 21</w:t>
      </w:r>
      <w:r w:rsidR="00353E79" w:rsidRPr="002E2DF5">
        <w:rPr>
          <w:bCs/>
          <w:color w:val="000000" w:themeColor="text1"/>
          <w:szCs w:val="28"/>
          <w:lang w:val="vi-VN" w:eastAsia="en-AU"/>
        </w:rPr>
        <w:t xml:space="preserve"> Luật Bảo hiểm y tế</w:t>
      </w:r>
      <w:r w:rsidR="00936FC5" w:rsidRPr="002E2DF5">
        <w:rPr>
          <w:bCs/>
          <w:color w:val="000000" w:themeColor="text1"/>
          <w:szCs w:val="28"/>
          <w:lang w:val="vi-VN" w:eastAsia="en-AU"/>
        </w:rPr>
        <w:t>, bao gồm</w:t>
      </w:r>
      <w:r w:rsidR="00353E79" w:rsidRPr="002E2DF5">
        <w:rPr>
          <w:bCs/>
          <w:color w:val="000000" w:themeColor="text1"/>
          <w:szCs w:val="28"/>
          <w:lang w:val="vi-VN" w:eastAsia="en-AU"/>
        </w:rPr>
        <w:t>:</w:t>
      </w:r>
    </w:p>
    <w:p w14:paraId="72F7D68B" w14:textId="6F8ECCEB" w:rsidR="00077BB4" w:rsidRPr="002E2DF5" w:rsidRDefault="00353E79"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a) </w:t>
      </w:r>
      <w:r w:rsidR="00077BB4" w:rsidRPr="002E2DF5">
        <w:rPr>
          <w:bCs/>
          <w:color w:val="000000" w:themeColor="text1"/>
          <w:szCs w:val="28"/>
          <w:lang w:val="vi-VN" w:eastAsia="en-AU"/>
        </w:rPr>
        <w:t>Người hoạt động cách mạng trước ngày 01 tháng 01 năm 1945;</w:t>
      </w:r>
    </w:p>
    <w:p w14:paraId="28EE77F3" w14:textId="54584E8D" w:rsidR="00077BB4" w:rsidRPr="002E2DF5" w:rsidRDefault="00353E79"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b) </w:t>
      </w:r>
      <w:r w:rsidR="00077BB4" w:rsidRPr="002E2DF5">
        <w:rPr>
          <w:bCs/>
          <w:color w:val="000000" w:themeColor="text1"/>
          <w:szCs w:val="28"/>
          <w:lang w:val="vi-VN" w:eastAsia="en-AU"/>
        </w:rPr>
        <w:t>Người hoạt động cách mạng từ ngày 01 tháng 01 năm 1945 đến ngày khởi nghĩa tháng Tám năm 1945;</w:t>
      </w:r>
    </w:p>
    <w:p w14:paraId="5F7C7D04" w14:textId="5ACA68BD" w:rsidR="00077BB4" w:rsidRPr="002E2DF5" w:rsidRDefault="00353E79"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c) </w:t>
      </w:r>
      <w:r w:rsidR="00077BB4" w:rsidRPr="002E2DF5">
        <w:rPr>
          <w:bCs/>
          <w:color w:val="000000" w:themeColor="text1"/>
          <w:szCs w:val="28"/>
          <w:lang w:val="vi-VN" w:eastAsia="en-AU"/>
        </w:rPr>
        <w:t>Bà mẹ Việt Nam anh hùng;</w:t>
      </w:r>
    </w:p>
    <w:p w14:paraId="45D4F731" w14:textId="2220FB9F" w:rsidR="00077BB4" w:rsidRPr="002E2DF5" w:rsidRDefault="00353E79"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d) </w:t>
      </w:r>
      <w:r w:rsidR="00077BB4" w:rsidRPr="002E2DF5">
        <w:rPr>
          <w:bCs/>
          <w:color w:val="000000" w:themeColor="text1"/>
          <w:szCs w:val="28"/>
          <w:lang w:val="vi-VN" w:eastAsia="en-AU"/>
        </w:rPr>
        <w:t>Thương binh, người hưởng chính sách như thương binh, thương binh loại B, bệnh binh suy giảm khả năng lao động từ 81% trở lên;</w:t>
      </w:r>
    </w:p>
    <w:p w14:paraId="161BEC7E" w14:textId="6661B7E2" w:rsidR="00077BB4" w:rsidRPr="002E2DF5" w:rsidRDefault="00353E79"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đ) </w:t>
      </w:r>
      <w:r w:rsidR="00077BB4" w:rsidRPr="002E2DF5">
        <w:rPr>
          <w:bCs/>
          <w:color w:val="000000" w:themeColor="text1"/>
          <w:szCs w:val="28"/>
          <w:lang w:val="vi-VN" w:eastAsia="en-AU"/>
        </w:rPr>
        <w:t>Thương binh, người hưởng chính sách như thương binh, thương binh loại B, bệnh binh khi điều trị vết thương, bệnh tật tái phát;</w:t>
      </w:r>
    </w:p>
    <w:p w14:paraId="484C6182" w14:textId="4DD850FC" w:rsidR="00077BB4" w:rsidRPr="002E2DF5" w:rsidRDefault="00353E79"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e) </w:t>
      </w:r>
      <w:r w:rsidR="00077BB4" w:rsidRPr="002E2DF5">
        <w:rPr>
          <w:bCs/>
          <w:color w:val="000000" w:themeColor="text1"/>
          <w:szCs w:val="28"/>
          <w:lang w:val="vi-VN" w:eastAsia="en-AU"/>
        </w:rPr>
        <w:t>Người hoạt động kháng chiến bị nhiễm chất độc hóa học có tỷ lệ suy giảm khả năng lao động từ 81% trở lên;</w:t>
      </w:r>
    </w:p>
    <w:p w14:paraId="7BDD7C62" w14:textId="7EA7C55C" w:rsidR="00077BB4" w:rsidRPr="002E2DF5" w:rsidRDefault="00353E79"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 xml:space="preserve">g) </w:t>
      </w:r>
      <w:r w:rsidR="00077BB4" w:rsidRPr="002E2DF5">
        <w:rPr>
          <w:bCs/>
          <w:color w:val="000000" w:themeColor="text1"/>
          <w:szCs w:val="28"/>
          <w:lang w:val="vi-VN" w:eastAsia="en-AU"/>
        </w:rPr>
        <w:t>Trẻ em dưới 6 tuổi.</w:t>
      </w:r>
    </w:p>
    <w:p w14:paraId="17F52974" w14:textId="365F23C4" w:rsidR="00BA25E2" w:rsidRPr="002E2DF5" w:rsidRDefault="00936FC5" w:rsidP="00345857">
      <w:pPr>
        <w:spacing w:after="120"/>
        <w:ind w:firstLine="709"/>
        <w:jc w:val="both"/>
        <w:rPr>
          <w:bCs/>
          <w:color w:val="000000" w:themeColor="text1"/>
          <w:szCs w:val="28"/>
          <w:lang w:val="vi-VN" w:eastAsia="en-AU"/>
        </w:rPr>
      </w:pPr>
      <w:r w:rsidRPr="002E2DF5">
        <w:rPr>
          <w:bCs/>
          <w:color w:val="000000" w:themeColor="text1"/>
          <w:szCs w:val="28"/>
          <w:lang w:val="vi-VN" w:eastAsia="en-AU"/>
        </w:rPr>
        <w:t>3.</w:t>
      </w:r>
      <w:r w:rsidR="00BA25E2" w:rsidRPr="002E2DF5">
        <w:rPr>
          <w:bCs/>
          <w:color w:val="000000" w:themeColor="text1"/>
          <w:szCs w:val="28"/>
          <w:lang w:val="vi-VN" w:eastAsia="en-AU"/>
        </w:rPr>
        <w:t xml:space="preserve"> 100% chi phí khám bệnh, chữa bệnh đối với trường hợp chi phí cho một lần khám bệnh, chữa bệnh thấp hơn 15</w:t>
      </w:r>
      <w:r w:rsidR="00C82C2F" w:rsidRPr="002E2DF5">
        <w:rPr>
          <w:bCs/>
          <w:color w:val="000000" w:themeColor="text1"/>
          <w:szCs w:val="28"/>
          <w:lang w:val="vi-VN" w:eastAsia="en-AU"/>
        </w:rPr>
        <w:t xml:space="preserve"> % </w:t>
      </w:r>
      <w:r w:rsidR="00BA25E2" w:rsidRPr="002E2DF5">
        <w:rPr>
          <w:bCs/>
          <w:color w:val="000000" w:themeColor="text1"/>
          <w:szCs w:val="28"/>
          <w:lang w:val="vi-VN" w:eastAsia="en-AU"/>
        </w:rPr>
        <w:t>mức lương cơ sở</w:t>
      </w:r>
      <w:r w:rsidR="004702C9" w:rsidRPr="002E2DF5">
        <w:rPr>
          <w:bCs/>
          <w:color w:val="000000" w:themeColor="text1"/>
          <w:szCs w:val="28"/>
          <w:lang w:val="vi-VN" w:eastAsia="en-AU"/>
        </w:rPr>
        <w:t>;</w:t>
      </w:r>
      <w:r w:rsidR="007C7C27" w:rsidRPr="002E2DF5">
        <w:rPr>
          <w:bCs/>
          <w:color w:val="000000" w:themeColor="text1"/>
          <w:szCs w:val="28"/>
          <w:lang w:val="vi-VN" w:eastAsia="en-AU"/>
        </w:rPr>
        <w:t xml:space="preserve"> </w:t>
      </w:r>
    </w:p>
    <w:p w14:paraId="2D813177" w14:textId="4975BB62" w:rsidR="001B56E2" w:rsidRPr="002E2DF5" w:rsidRDefault="00936FC5" w:rsidP="00345857">
      <w:pPr>
        <w:spacing w:after="120"/>
        <w:ind w:firstLine="709"/>
        <w:jc w:val="both"/>
        <w:rPr>
          <w:rFonts w:eastAsia="Times New Roman" w:cs="Times New Roman"/>
          <w:color w:val="000000" w:themeColor="text1"/>
          <w:szCs w:val="28"/>
          <w:lang w:val="vi-VN" w:eastAsia="vi-VN"/>
        </w:rPr>
      </w:pPr>
      <w:r w:rsidRPr="002E2DF5">
        <w:rPr>
          <w:rFonts w:eastAsia="Times New Roman" w:cs="Times New Roman"/>
          <w:color w:val="000000" w:themeColor="text1"/>
          <w:szCs w:val="28"/>
          <w:lang w:val="vi-VN" w:eastAsia="vi-VN"/>
        </w:rPr>
        <w:t>4.</w:t>
      </w:r>
      <w:r w:rsidR="001B56E2" w:rsidRPr="002E2DF5">
        <w:rPr>
          <w:rFonts w:eastAsia="Times New Roman" w:cs="Times New Roman"/>
          <w:color w:val="000000" w:themeColor="text1"/>
          <w:szCs w:val="28"/>
          <w:lang w:val="vi-VN" w:eastAsia="vi-VN"/>
        </w:rPr>
        <w:t xml:space="preserve"> </w:t>
      </w:r>
      <w:r w:rsidR="001B56E2" w:rsidRPr="002E2DF5">
        <w:rPr>
          <w:rFonts w:eastAsia="Times New Roman" w:cs="Times New Roman"/>
          <w:bCs/>
          <w:color w:val="000000" w:themeColor="text1"/>
          <w:szCs w:val="28"/>
          <w:lang w:val="vi-VN"/>
        </w:rPr>
        <w:t>95% chi phí khám bệnh, chữa bệnh đối với các đối tượng quy định tại khoản 1 Điều 2, các khoản 12, 18 và 19 Điều 3 và các khoản 1, 2 và 5 Điều 4 Nghị định này</w:t>
      </w:r>
      <w:r w:rsidR="000A7B7B" w:rsidRPr="002E2DF5">
        <w:rPr>
          <w:rFonts w:eastAsia="Times New Roman" w:cs="Times New Roman"/>
          <w:bCs/>
          <w:color w:val="000000" w:themeColor="text1"/>
          <w:szCs w:val="28"/>
          <w:lang w:val="vi-VN"/>
        </w:rPr>
        <w:t>;</w:t>
      </w:r>
    </w:p>
    <w:p w14:paraId="557C3AAA" w14:textId="69788056" w:rsidR="00D64B15" w:rsidRPr="002E2DF5" w:rsidRDefault="00AB34EA" w:rsidP="00345857">
      <w:pPr>
        <w:shd w:val="clear" w:color="auto" w:fill="FFFFFF"/>
        <w:spacing w:after="120"/>
        <w:ind w:firstLine="709"/>
        <w:jc w:val="both"/>
        <w:rPr>
          <w:rFonts w:cs="Times New Roman"/>
          <w:bCs/>
          <w:color w:val="000000" w:themeColor="text1"/>
          <w:szCs w:val="28"/>
          <w:lang w:val="vi-VN"/>
        </w:rPr>
      </w:pPr>
      <w:r w:rsidRPr="002E2DF5">
        <w:rPr>
          <w:rFonts w:cs="Times New Roman"/>
          <w:bCs/>
          <w:color w:val="000000" w:themeColor="text1"/>
          <w:szCs w:val="28"/>
          <w:lang w:val="vi-VN"/>
        </w:rPr>
        <w:t>5</w:t>
      </w:r>
      <w:r w:rsidR="009127A7" w:rsidRPr="002E2DF5">
        <w:rPr>
          <w:rFonts w:cs="Times New Roman"/>
          <w:bCs/>
          <w:color w:val="000000" w:themeColor="text1"/>
          <w:szCs w:val="28"/>
          <w:lang w:val="vi-VN"/>
        </w:rPr>
        <w:t xml:space="preserve">. </w:t>
      </w:r>
      <w:r w:rsidR="001830E9" w:rsidRPr="002E2DF5">
        <w:rPr>
          <w:rFonts w:cs="Times New Roman"/>
          <w:bCs/>
          <w:color w:val="000000" w:themeColor="text1"/>
          <w:szCs w:val="28"/>
          <w:lang w:val="vi-VN"/>
        </w:rPr>
        <w:t>Tỷ lệ phần trăm của m</w:t>
      </w:r>
      <w:r w:rsidR="00D64B15" w:rsidRPr="002E2DF5">
        <w:rPr>
          <w:rFonts w:cs="Times New Roman"/>
          <w:bCs/>
          <w:color w:val="000000" w:themeColor="text1"/>
          <w:szCs w:val="28"/>
          <w:lang w:val="vi-VN"/>
        </w:rPr>
        <w:t xml:space="preserve">ức hưởng </w:t>
      </w:r>
      <w:r w:rsidR="00C61516" w:rsidRPr="002E2DF5">
        <w:rPr>
          <w:rFonts w:cs="Times New Roman"/>
          <w:bCs/>
          <w:color w:val="000000" w:themeColor="text1"/>
          <w:szCs w:val="28"/>
          <w:lang w:val="vi-VN"/>
        </w:rPr>
        <w:t>khi khám bệnh</w:t>
      </w:r>
      <w:r w:rsidR="00C84301" w:rsidRPr="002E2DF5">
        <w:rPr>
          <w:rFonts w:cs="Times New Roman"/>
          <w:bCs/>
          <w:color w:val="000000" w:themeColor="text1"/>
          <w:szCs w:val="28"/>
          <w:lang w:val="vi-VN"/>
        </w:rPr>
        <w:t>,</w:t>
      </w:r>
      <w:r w:rsidR="00C61516" w:rsidRPr="002E2DF5">
        <w:rPr>
          <w:rFonts w:cs="Times New Roman"/>
          <w:bCs/>
          <w:color w:val="000000" w:themeColor="text1"/>
          <w:szCs w:val="28"/>
          <w:lang w:val="vi-VN"/>
        </w:rPr>
        <w:t xml:space="preserve"> chữa b</w:t>
      </w:r>
      <w:r w:rsidR="00C84301" w:rsidRPr="002E2DF5">
        <w:rPr>
          <w:rFonts w:cs="Times New Roman"/>
          <w:bCs/>
          <w:color w:val="000000" w:themeColor="text1"/>
          <w:szCs w:val="28"/>
          <w:lang w:val="vi-VN"/>
        </w:rPr>
        <w:t>ệ</w:t>
      </w:r>
      <w:r w:rsidR="00C61516" w:rsidRPr="002E2DF5">
        <w:rPr>
          <w:rFonts w:cs="Times New Roman"/>
          <w:bCs/>
          <w:color w:val="000000" w:themeColor="text1"/>
          <w:szCs w:val="28"/>
          <w:lang w:val="vi-VN"/>
        </w:rPr>
        <w:t xml:space="preserve">nh ngoại trú tại cơ </w:t>
      </w:r>
      <w:r w:rsidR="00C84301" w:rsidRPr="002E2DF5">
        <w:rPr>
          <w:rFonts w:cs="Times New Roman"/>
          <w:bCs/>
          <w:color w:val="000000" w:themeColor="text1"/>
          <w:szCs w:val="28"/>
          <w:lang w:val="vi-VN"/>
        </w:rPr>
        <w:t>sở khám bệnh, chữa bệnh</w:t>
      </w:r>
      <w:r w:rsidR="00C61516" w:rsidRPr="002E2DF5">
        <w:rPr>
          <w:rFonts w:cs="Times New Roman"/>
          <w:bCs/>
          <w:color w:val="000000" w:themeColor="text1"/>
          <w:szCs w:val="28"/>
          <w:lang w:val="vi-VN"/>
        </w:rPr>
        <w:t xml:space="preserve"> cấp cơ bản </w:t>
      </w:r>
      <w:r w:rsidR="001830E9" w:rsidRPr="002E2DF5">
        <w:rPr>
          <w:rFonts w:cs="Times New Roman"/>
          <w:bCs/>
          <w:color w:val="000000" w:themeColor="text1"/>
          <w:szCs w:val="28"/>
          <w:lang w:val="vi-VN"/>
        </w:rPr>
        <w:t>quy định tại điểm e khoản 4 Đ</w:t>
      </w:r>
      <w:r w:rsidR="00C61516" w:rsidRPr="002E2DF5">
        <w:rPr>
          <w:rFonts w:cs="Times New Roman"/>
          <w:bCs/>
          <w:color w:val="000000" w:themeColor="text1"/>
          <w:szCs w:val="28"/>
          <w:lang w:val="vi-VN"/>
        </w:rPr>
        <w:t>i</w:t>
      </w:r>
      <w:r w:rsidR="001830E9" w:rsidRPr="002E2DF5">
        <w:rPr>
          <w:rFonts w:cs="Times New Roman"/>
          <w:bCs/>
          <w:color w:val="000000" w:themeColor="text1"/>
          <w:szCs w:val="28"/>
          <w:lang w:val="vi-VN"/>
        </w:rPr>
        <w:t>ều 22 Luật Bảo hiểm y tế như sau:</w:t>
      </w:r>
    </w:p>
    <w:p w14:paraId="356A5444" w14:textId="60E4CACF" w:rsidR="009839F3" w:rsidRPr="002E2DF5" w:rsidRDefault="00EC1EC3" w:rsidP="00345857">
      <w:pPr>
        <w:shd w:val="clear" w:color="auto" w:fill="FFFFFF"/>
        <w:spacing w:after="120"/>
        <w:ind w:firstLine="709"/>
        <w:jc w:val="both"/>
        <w:rPr>
          <w:color w:val="000000" w:themeColor="text1"/>
          <w:szCs w:val="28"/>
          <w:lang w:val="vi-VN"/>
        </w:rPr>
      </w:pPr>
      <w:r w:rsidRPr="002E2DF5">
        <w:rPr>
          <w:bCs/>
          <w:color w:val="000000" w:themeColor="text1"/>
          <w:szCs w:val="28"/>
          <w:lang w:val="vi-VN"/>
        </w:rPr>
        <w:t xml:space="preserve">a) </w:t>
      </w:r>
      <w:r w:rsidR="00C61516" w:rsidRPr="002E2DF5">
        <w:rPr>
          <w:rFonts w:cs="Times New Roman"/>
          <w:bCs/>
          <w:color w:val="000000" w:themeColor="text1"/>
          <w:szCs w:val="28"/>
          <w:lang w:val="vi-VN"/>
        </w:rPr>
        <w:t>100%</w:t>
      </w:r>
      <w:r w:rsidR="002A04BA" w:rsidRPr="002E2DF5">
        <w:rPr>
          <w:bCs/>
          <w:color w:val="000000" w:themeColor="text1"/>
          <w:szCs w:val="28"/>
          <w:lang w:val="vi-VN"/>
        </w:rPr>
        <w:t xml:space="preserve"> mức hưởng khi</w:t>
      </w:r>
      <w:r w:rsidR="00E513B8" w:rsidRPr="002E2DF5">
        <w:rPr>
          <w:bCs/>
          <w:color w:val="000000" w:themeColor="text1"/>
          <w:szCs w:val="28"/>
          <w:lang w:val="vi-VN"/>
        </w:rPr>
        <w:t xml:space="preserve"> khám bệnh, chữa bệnh </w:t>
      </w:r>
      <w:r w:rsidR="00E513B8" w:rsidRPr="002E2DF5">
        <w:rPr>
          <w:color w:val="000000" w:themeColor="text1"/>
          <w:szCs w:val="28"/>
          <w:lang w:val="vi-VN"/>
        </w:rPr>
        <w:t xml:space="preserve">ngoại trú </w:t>
      </w:r>
      <w:r w:rsidR="00E513B8" w:rsidRPr="002E2DF5">
        <w:rPr>
          <w:bCs/>
          <w:color w:val="000000" w:themeColor="text1"/>
          <w:szCs w:val="28"/>
          <w:lang w:val="vi-VN"/>
        </w:rPr>
        <w:t>t</w:t>
      </w:r>
      <w:r w:rsidR="00AC35D1" w:rsidRPr="002E2DF5">
        <w:rPr>
          <w:bCs/>
          <w:color w:val="000000" w:themeColor="text1"/>
          <w:szCs w:val="28"/>
          <w:lang w:val="vi-VN"/>
        </w:rPr>
        <w:t>ại cơ sở khám bệnh, chữa bệnh cấp cơ bản</w:t>
      </w:r>
      <w:r w:rsidR="002A04BA" w:rsidRPr="002E2DF5">
        <w:rPr>
          <w:bCs/>
          <w:color w:val="000000" w:themeColor="text1"/>
          <w:szCs w:val="28"/>
          <w:lang w:val="vi-VN"/>
        </w:rPr>
        <w:t xml:space="preserve"> đạt số điểm </w:t>
      </w:r>
      <w:r w:rsidR="00145ADD" w:rsidRPr="002E2DF5">
        <w:rPr>
          <w:bCs/>
          <w:color w:val="000000" w:themeColor="text1"/>
          <w:szCs w:val="28"/>
          <w:lang w:val="vi-VN"/>
        </w:rPr>
        <w:t>dưới</w:t>
      </w:r>
      <w:r w:rsidR="00C84301" w:rsidRPr="002E2DF5">
        <w:rPr>
          <w:bCs/>
          <w:color w:val="000000" w:themeColor="text1"/>
          <w:szCs w:val="28"/>
          <w:lang w:val="vi-VN"/>
        </w:rPr>
        <w:t xml:space="preserve"> 50 điểm</w:t>
      </w:r>
      <w:r w:rsidR="000730C2" w:rsidRPr="002E2DF5">
        <w:rPr>
          <w:bCs/>
          <w:color w:val="000000" w:themeColor="text1"/>
          <w:szCs w:val="28"/>
          <w:lang w:val="vi-VN"/>
        </w:rPr>
        <w:t xml:space="preserve"> thực hiện từ </w:t>
      </w:r>
      <w:r w:rsidR="00AC35D1" w:rsidRPr="002E2DF5">
        <w:rPr>
          <w:color w:val="000000" w:themeColor="text1"/>
          <w:szCs w:val="28"/>
          <w:lang w:val="vi-VN"/>
        </w:rPr>
        <w:t>ngày 01 tháng 01 năm 2025</w:t>
      </w:r>
      <w:r w:rsidR="009839F3" w:rsidRPr="002E2DF5">
        <w:rPr>
          <w:color w:val="000000" w:themeColor="text1"/>
          <w:szCs w:val="28"/>
          <w:lang w:val="vi-VN"/>
        </w:rPr>
        <w:t>;</w:t>
      </w:r>
    </w:p>
    <w:p w14:paraId="745FED26" w14:textId="058FB691" w:rsidR="00FA6D86" w:rsidRPr="002E2DF5" w:rsidRDefault="00FA6D86" w:rsidP="00345857">
      <w:pPr>
        <w:shd w:val="clear" w:color="auto" w:fill="FFFFFF"/>
        <w:spacing w:after="120"/>
        <w:ind w:firstLine="709"/>
        <w:jc w:val="both"/>
        <w:rPr>
          <w:bCs/>
          <w:color w:val="000000" w:themeColor="text1"/>
          <w:szCs w:val="28"/>
          <w:lang w:val="vi-VN"/>
        </w:rPr>
      </w:pPr>
      <w:r w:rsidRPr="002E2DF5">
        <w:rPr>
          <w:rFonts w:cs="Times New Roman"/>
          <w:bCs/>
          <w:color w:val="000000" w:themeColor="text1"/>
          <w:szCs w:val="28"/>
          <w:lang w:val="vi-VN"/>
        </w:rPr>
        <w:t xml:space="preserve">b) Không thanh toán chi phí </w:t>
      </w:r>
      <w:r w:rsidRPr="002E2DF5">
        <w:rPr>
          <w:bCs/>
          <w:color w:val="000000" w:themeColor="text1"/>
          <w:szCs w:val="28"/>
          <w:lang w:val="vi-VN"/>
        </w:rPr>
        <w:t xml:space="preserve">khám bệnh, chữa bệnh </w:t>
      </w:r>
      <w:r w:rsidRPr="002E2DF5">
        <w:rPr>
          <w:color w:val="000000" w:themeColor="text1"/>
          <w:szCs w:val="28"/>
          <w:lang w:val="vi-VN"/>
        </w:rPr>
        <w:t xml:space="preserve">ngoại trú </w:t>
      </w:r>
      <w:r w:rsidRPr="002E2DF5">
        <w:rPr>
          <w:bCs/>
          <w:color w:val="000000" w:themeColor="text1"/>
          <w:szCs w:val="28"/>
          <w:lang w:val="vi-VN"/>
        </w:rPr>
        <w:t>tại cơ sở khám bệnh, chữa bệnh cấp cơ bản đạt số điểm từ 50 điểm đến dưới 70 điểm thực hiện từ ngày 01 tháng 01 năm 2025 đến hết ngày 30 tháng 6 năm 2026;</w:t>
      </w:r>
    </w:p>
    <w:p w14:paraId="1F19C23E" w14:textId="01442E3F" w:rsidR="00FA6D86" w:rsidRPr="002E2DF5" w:rsidRDefault="00FA6D86" w:rsidP="00345857">
      <w:pPr>
        <w:shd w:val="clear" w:color="auto" w:fill="FFFFFF"/>
        <w:spacing w:after="120"/>
        <w:ind w:firstLine="709"/>
        <w:jc w:val="both"/>
        <w:rPr>
          <w:bCs/>
          <w:color w:val="000000" w:themeColor="text1"/>
          <w:szCs w:val="28"/>
          <w:lang w:val="vi-VN"/>
        </w:rPr>
      </w:pPr>
      <w:r w:rsidRPr="002E2DF5">
        <w:rPr>
          <w:rFonts w:cs="Times New Roman"/>
          <w:bCs/>
          <w:color w:val="000000" w:themeColor="text1"/>
          <w:szCs w:val="28"/>
          <w:lang w:val="vi-VN"/>
        </w:rPr>
        <w:t xml:space="preserve">c) Không thanh toán chi phí </w:t>
      </w:r>
      <w:r w:rsidRPr="002E2DF5">
        <w:rPr>
          <w:bCs/>
          <w:color w:val="000000" w:themeColor="text1"/>
          <w:szCs w:val="28"/>
          <w:lang w:val="vi-VN"/>
        </w:rPr>
        <w:t xml:space="preserve">khám bệnh, chữa bệnh </w:t>
      </w:r>
      <w:r w:rsidRPr="002E2DF5">
        <w:rPr>
          <w:color w:val="000000" w:themeColor="text1"/>
          <w:szCs w:val="28"/>
          <w:lang w:val="vi-VN"/>
        </w:rPr>
        <w:t xml:space="preserve">ngoại trú </w:t>
      </w:r>
      <w:r w:rsidRPr="002E2DF5">
        <w:rPr>
          <w:bCs/>
          <w:color w:val="000000" w:themeColor="text1"/>
          <w:szCs w:val="28"/>
          <w:lang w:val="vi-VN"/>
        </w:rPr>
        <w:t>tại cơ sở khám bệnh, chữa bệnh cấp cơ bản mà trước ngày 01 tháng 01 năm 2025 đã được cơ quan có thẩm quyền xác định là tuyến tỉnh thực hiện từ ngày 01 tháng 01 năm 2025 đến hết ngày 30 tháng 6 năm 2026.</w:t>
      </w:r>
    </w:p>
    <w:p w14:paraId="40A84973" w14:textId="1C57490E" w:rsidR="008F224A" w:rsidRPr="002E2DF5" w:rsidRDefault="00FA6D86" w:rsidP="00345857">
      <w:pPr>
        <w:shd w:val="clear" w:color="auto" w:fill="FFFFFF"/>
        <w:spacing w:after="120"/>
        <w:ind w:firstLine="709"/>
        <w:jc w:val="both"/>
        <w:rPr>
          <w:bCs/>
          <w:color w:val="000000" w:themeColor="text1"/>
          <w:szCs w:val="28"/>
          <w:lang w:val="vi-VN"/>
        </w:rPr>
      </w:pPr>
      <w:r w:rsidRPr="002E2DF5">
        <w:rPr>
          <w:rFonts w:cs="Times New Roman"/>
          <w:bCs/>
          <w:color w:val="000000" w:themeColor="text1"/>
          <w:szCs w:val="28"/>
          <w:lang w:val="vi-VN"/>
        </w:rPr>
        <w:t>d</w:t>
      </w:r>
      <w:r w:rsidR="00077E5B" w:rsidRPr="002E2DF5">
        <w:rPr>
          <w:rFonts w:cs="Times New Roman"/>
          <w:bCs/>
          <w:color w:val="000000" w:themeColor="text1"/>
          <w:szCs w:val="28"/>
          <w:lang w:val="vi-VN"/>
        </w:rPr>
        <w:t xml:space="preserve">) </w:t>
      </w:r>
      <w:r w:rsidR="00B548B2" w:rsidRPr="002E2DF5">
        <w:rPr>
          <w:rFonts w:cs="Times New Roman"/>
          <w:bCs/>
          <w:color w:val="000000" w:themeColor="text1"/>
          <w:szCs w:val="28"/>
          <w:lang w:val="vi-VN"/>
        </w:rPr>
        <w:t>5</w:t>
      </w:r>
      <w:r w:rsidR="009839F3" w:rsidRPr="002E2DF5">
        <w:rPr>
          <w:rFonts w:cs="Times New Roman"/>
          <w:bCs/>
          <w:color w:val="000000" w:themeColor="text1"/>
          <w:szCs w:val="28"/>
          <w:lang w:val="vi-VN"/>
        </w:rPr>
        <w:t>0%</w:t>
      </w:r>
      <w:r w:rsidR="009839F3" w:rsidRPr="002E2DF5">
        <w:rPr>
          <w:bCs/>
          <w:color w:val="000000" w:themeColor="text1"/>
          <w:szCs w:val="28"/>
          <w:lang w:val="vi-VN"/>
        </w:rPr>
        <w:t xml:space="preserve"> mức hưởng khi khám bệnh, chữa bệnh </w:t>
      </w:r>
      <w:r w:rsidR="009839F3" w:rsidRPr="002E2DF5">
        <w:rPr>
          <w:color w:val="000000" w:themeColor="text1"/>
          <w:szCs w:val="28"/>
          <w:lang w:val="vi-VN"/>
        </w:rPr>
        <w:t xml:space="preserve">ngoại trú </w:t>
      </w:r>
      <w:r w:rsidR="009839F3" w:rsidRPr="002E2DF5">
        <w:rPr>
          <w:bCs/>
          <w:color w:val="000000" w:themeColor="text1"/>
          <w:szCs w:val="28"/>
          <w:lang w:val="vi-VN"/>
        </w:rPr>
        <w:t xml:space="preserve">tại cơ sở khám bệnh, chữa bệnh cấp cơ bản </w:t>
      </w:r>
      <w:r w:rsidR="008C223A" w:rsidRPr="002E2DF5">
        <w:rPr>
          <w:bCs/>
          <w:color w:val="000000" w:themeColor="text1"/>
          <w:szCs w:val="28"/>
          <w:lang w:val="vi-VN"/>
        </w:rPr>
        <w:t>đạt số điểm từ 5</w:t>
      </w:r>
      <w:r w:rsidR="0019246B" w:rsidRPr="002E2DF5">
        <w:rPr>
          <w:bCs/>
          <w:color w:val="000000" w:themeColor="text1"/>
          <w:szCs w:val="28"/>
          <w:lang w:val="vi-VN"/>
        </w:rPr>
        <w:t>0</w:t>
      </w:r>
      <w:r w:rsidR="00C709F0" w:rsidRPr="002E2DF5">
        <w:rPr>
          <w:bCs/>
          <w:color w:val="000000" w:themeColor="text1"/>
          <w:szCs w:val="28"/>
          <w:lang w:val="vi-VN"/>
        </w:rPr>
        <w:t xml:space="preserve"> điểm</w:t>
      </w:r>
      <w:r w:rsidR="008C223A" w:rsidRPr="002E2DF5">
        <w:rPr>
          <w:bCs/>
          <w:color w:val="000000" w:themeColor="text1"/>
          <w:szCs w:val="28"/>
          <w:lang w:val="vi-VN"/>
        </w:rPr>
        <w:t xml:space="preserve"> đến </w:t>
      </w:r>
      <w:r w:rsidR="0019246B" w:rsidRPr="002E2DF5">
        <w:rPr>
          <w:bCs/>
          <w:color w:val="000000" w:themeColor="text1"/>
          <w:szCs w:val="28"/>
          <w:lang w:val="vi-VN"/>
        </w:rPr>
        <w:t>dưới 70</w:t>
      </w:r>
      <w:r w:rsidR="008C223A" w:rsidRPr="002E2DF5">
        <w:rPr>
          <w:bCs/>
          <w:color w:val="000000" w:themeColor="text1"/>
          <w:szCs w:val="28"/>
          <w:lang w:val="vi-VN"/>
        </w:rPr>
        <w:t xml:space="preserve"> điểm </w:t>
      </w:r>
      <w:r w:rsidR="007E1D3D" w:rsidRPr="002E2DF5">
        <w:rPr>
          <w:bCs/>
          <w:color w:val="000000" w:themeColor="text1"/>
          <w:szCs w:val="28"/>
          <w:lang w:val="vi-VN"/>
        </w:rPr>
        <w:t>thực hiện từ ngày 01 tháng 07 năm 2026</w:t>
      </w:r>
      <w:r w:rsidR="00FB4A54" w:rsidRPr="002E2DF5">
        <w:rPr>
          <w:bCs/>
          <w:color w:val="000000" w:themeColor="text1"/>
          <w:szCs w:val="28"/>
          <w:lang w:val="vi-VN"/>
        </w:rPr>
        <w:t xml:space="preserve"> trừ trường hợp quy định tại các điểm </w:t>
      </w:r>
      <w:r w:rsidR="00C432DC" w:rsidRPr="002E2DF5">
        <w:rPr>
          <w:bCs/>
          <w:color w:val="000000" w:themeColor="text1"/>
          <w:szCs w:val="28"/>
          <w:lang w:val="vi-VN"/>
        </w:rPr>
        <w:t>b</w:t>
      </w:r>
      <w:r w:rsidR="001C0CD7" w:rsidRPr="002E2DF5">
        <w:rPr>
          <w:bCs/>
          <w:color w:val="000000" w:themeColor="text1"/>
          <w:szCs w:val="28"/>
          <w:lang w:val="vi-VN"/>
        </w:rPr>
        <w:t xml:space="preserve">, </w:t>
      </w:r>
      <w:r w:rsidR="00C432DC" w:rsidRPr="002E2DF5">
        <w:rPr>
          <w:bCs/>
          <w:color w:val="000000" w:themeColor="text1"/>
          <w:szCs w:val="28"/>
          <w:lang w:val="vi-VN"/>
        </w:rPr>
        <w:t>c</w:t>
      </w:r>
      <w:r w:rsidR="001C0CD7" w:rsidRPr="002E2DF5">
        <w:rPr>
          <w:bCs/>
          <w:color w:val="000000" w:themeColor="text1"/>
          <w:szCs w:val="28"/>
          <w:lang w:val="vi-VN"/>
        </w:rPr>
        <w:t xml:space="preserve"> </w:t>
      </w:r>
      <w:r w:rsidR="0096517C" w:rsidRPr="002E2DF5">
        <w:rPr>
          <w:bCs/>
          <w:color w:val="000000" w:themeColor="text1"/>
          <w:szCs w:val="28"/>
          <w:lang w:val="vi-VN"/>
        </w:rPr>
        <w:t xml:space="preserve">và đ </w:t>
      </w:r>
      <w:r w:rsidR="001C0CD7" w:rsidRPr="002E2DF5">
        <w:rPr>
          <w:bCs/>
          <w:color w:val="000000" w:themeColor="text1"/>
          <w:szCs w:val="28"/>
          <w:lang w:val="vi-VN"/>
        </w:rPr>
        <w:t>khoản này</w:t>
      </w:r>
      <w:r w:rsidR="007E1D3D" w:rsidRPr="002E2DF5">
        <w:rPr>
          <w:bCs/>
          <w:color w:val="000000" w:themeColor="text1"/>
          <w:szCs w:val="28"/>
          <w:lang w:val="vi-VN"/>
        </w:rPr>
        <w:t>;</w:t>
      </w:r>
    </w:p>
    <w:p w14:paraId="3C600A91" w14:textId="64A975F2" w:rsidR="00C92D62" w:rsidRPr="002E2DF5" w:rsidRDefault="00FA6D86" w:rsidP="00345857">
      <w:pPr>
        <w:shd w:val="clear" w:color="auto" w:fill="FFFFFF"/>
        <w:spacing w:after="120"/>
        <w:ind w:firstLine="709"/>
        <w:jc w:val="both"/>
        <w:rPr>
          <w:bCs/>
          <w:color w:val="000000" w:themeColor="text1"/>
          <w:szCs w:val="28"/>
          <w:lang w:val="vi-VN"/>
        </w:rPr>
      </w:pPr>
      <w:r w:rsidRPr="002E2DF5">
        <w:rPr>
          <w:rFonts w:cs="Times New Roman"/>
          <w:bCs/>
          <w:color w:val="000000" w:themeColor="text1"/>
          <w:szCs w:val="28"/>
          <w:lang w:val="vi-VN"/>
        </w:rPr>
        <w:lastRenderedPageBreak/>
        <w:t>đ</w:t>
      </w:r>
      <w:r w:rsidR="007E1D3D" w:rsidRPr="002E2DF5">
        <w:rPr>
          <w:rFonts w:cs="Times New Roman"/>
          <w:bCs/>
          <w:color w:val="000000" w:themeColor="text1"/>
          <w:szCs w:val="28"/>
          <w:lang w:val="vi-VN"/>
        </w:rPr>
        <w:t>) 50%</w:t>
      </w:r>
      <w:r w:rsidR="007E1D3D" w:rsidRPr="002E2DF5">
        <w:rPr>
          <w:bCs/>
          <w:color w:val="000000" w:themeColor="text1"/>
          <w:szCs w:val="28"/>
          <w:lang w:val="vi-VN"/>
        </w:rPr>
        <w:t xml:space="preserve"> mức hưởng khi khám bệnh, chữa bệnh </w:t>
      </w:r>
      <w:r w:rsidR="007E1D3D" w:rsidRPr="002E2DF5">
        <w:rPr>
          <w:color w:val="000000" w:themeColor="text1"/>
          <w:szCs w:val="28"/>
          <w:lang w:val="vi-VN"/>
        </w:rPr>
        <w:t xml:space="preserve">ngoại trú </w:t>
      </w:r>
      <w:r w:rsidR="007E1D3D" w:rsidRPr="002E2DF5">
        <w:rPr>
          <w:bCs/>
          <w:color w:val="000000" w:themeColor="text1"/>
          <w:szCs w:val="28"/>
          <w:lang w:val="vi-VN"/>
        </w:rPr>
        <w:t>tại cơ sở khám bệnh, chữa bệnh cấp cơ bản mà trước ngày 01 tháng 01</w:t>
      </w:r>
      <w:r w:rsidR="004A20CB" w:rsidRPr="002E2DF5">
        <w:rPr>
          <w:bCs/>
          <w:color w:val="000000" w:themeColor="text1"/>
          <w:szCs w:val="28"/>
          <w:lang w:val="vi-VN"/>
        </w:rPr>
        <w:t xml:space="preserve"> </w:t>
      </w:r>
      <w:r w:rsidR="007E1D3D" w:rsidRPr="002E2DF5">
        <w:rPr>
          <w:bCs/>
          <w:color w:val="000000" w:themeColor="text1"/>
          <w:szCs w:val="28"/>
          <w:lang w:val="vi-VN"/>
        </w:rPr>
        <w:t>n</w:t>
      </w:r>
      <w:r w:rsidR="004A20CB" w:rsidRPr="002E2DF5">
        <w:rPr>
          <w:bCs/>
          <w:color w:val="000000" w:themeColor="text1"/>
          <w:szCs w:val="28"/>
          <w:lang w:val="vi-VN"/>
        </w:rPr>
        <w:t>ă</w:t>
      </w:r>
      <w:r w:rsidR="007E1D3D" w:rsidRPr="002E2DF5">
        <w:rPr>
          <w:bCs/>
          <w:color w:val="000000" w:themeColor="text1"/>
          <w:szCs w:val="28"/>
          <w:lang w:val="vi-VN"/>
        </w:rPr>
        <w:t>m 2025 đã được cơ quan có thẩm quyền xác định là tuyến tỉnh thực hiện từ ngày 01 tháng 07 năm 2026</w:t>
      </w:r>
      <w:r w:rsidR="00C92D62" w:rsidRPr="002E2DF5">
        <w:rPr>
          <w:bCs/>
          <w:color w:val="000000" w:themeColor="text1"/>
          <w:szCs w:val="28"/>
          <w:lang w:val="vi-VN"/>
        </w:rPr>
        <w:t>;</w:t>
      </w:r>
    </w:p>
    <w:p w14:paraId="00567008" w14:textId="2A7B4A79" w:rsidR="003E5D12" w:rsidRPr="002E2DF5" w:rsidRDefault="00AB34EA" w:rsidP="00345857">
      <w:pPr>
        <w:shd w:val="clear" w:color="auto" w:fill="FFFFFF"/>
        <w:spacing w:after="120"/>
        <w:ind w:firstLine="709"/>
        <w:jc w:val="both"/>
        <w:rPr>
          <w:rFonts w:cs="Times New Roman"/>
          <w:bCs/>
          <w:color w:val="000000" w:themeColor="text1"/>
          <w:szCs w:val="28"/>
          <w:lang w:val="vi-VN"/>
        </w:rPr>
      </w:pPr>
      <w:r w:rsidRPr="002E2DF5">
        <w:rPr>
          <w:rFonts w:cs="Times New Roman"/>
          <w:bCs/>
          <w:color w:val="000000" w:themeColor="text1"/>
          <w:szCs w:val="28"/>
          <w:lang w:val="vi-VN"/>
        </w:rPr>
        <w:t>6</w:t>
      </w:r>
      <w:r w:rsidR="003E5D12" w:rsidRPr="002E2DF5">
        <w:rPr>
          <w:rFonts w:cs="Times New Roman"/>
          <w:bCs/>
          <w:color w:val="000000" w:themeColor="text1"/>
          <w:szCs w:val="28"/>
          <w:lang w:val="vi-VN"/>
        </w:rPr>
        <w:t>. Tỷ lệ phần trăm của mức hưởng khi khám bệnh, chữa bệnh ngoại trú tại cơ sở khám bệnh, chữa bệnh cấp chuyên sâu quy định tại điểm h khoản 4 Điều 22 Luật Bảo hiểm y tế như sau:</w:t>
      </w:r>
    </w:p>
    <w:p w14:paraId="50961ED2" w14:textId="1B5AF365" w:rsidR="004A52B2" w:rsidRPr="002E2DF5" w:rsidRDefault="007311FF" w:rsidP="00345857">
      <w:pPr>
        <w:shd w:val="clear" w:color="auto" w:fill="FFFFFF"/>
        <w:spacing w:after="120"/>
        <w:ind w:firstLine="709"/>
        <w:jc w:val="both"/>
        <w:rPr>
          <w:rFonts w:eastAsia="Arial" w:cs="Times New Roman"/>
          <w:bCs/>
          <w:color w:val="000000" w:themeColor="text1"/>
          <w:szCs w:val="28"/>
          <w:lang w:val="vi-VN"/>
        </w:rPr>
      </w:pPr>
      <w:r w:rsidRPr="002E2DF5">
        <w:rPr>
          <w:rFonts w:eastAsia="Arial" w:cs="Times New Roman"/>
          <w:bCs/>
          <w:color w:val="000000" w:themeColor="text1"/>
          <w:szCs w:val="28"/>
          <w:lang w:val="vi-VN"/>
        </w:rPr>
        <w:t>a</w:t>
      </w:r>
      <w:r w:rsidR="004A52B2" w:rsidRPr="002E2DF5">
        <w:rPr>
          <w:rFonts w:eastAsia="Arial" w:cs="Times New Roman"/>
          <w:bCs/>
          <w:color w:val="000000" w:themeColor="text1"/>
          <w:szCs w:val="28"/>
          <w:lang w:val="vi-VN"/>
        </w:rPr>
        <w:t>) Không thanh toán chi phí khám bệnh, chữa bệnh ngoại trú trong trường hợp khám bệnh, chữa bệnh tại cơ sở khám bệnh, chữa bệnh cấp chuyên sâu mà trước ngày 01 tháng 01 năm 2025 đã được cơ quan có thẩm quyền xác định là tuyến tỉnh thực hiện từ ngày 01 tháng 0</w:t>
      </w:r>
      <w:r w:rsidR="002116C1" w:rsidRPr="002E2DF5">
        <w:rPr>
          <w:rFonts w:eastAsia="Arial" w:cs="Times New Roman"/>
          <w:bCs/>
          <w:color w:val="000000" w:themeColor="text1"/>
          <w:szCs w:val="28"/>
          <w:lang w:val="vi-VN"/>
        </w:rPr>
        <w:t>1</w:t>
      </w:r>
      <w:r w:rsidR="004A52B2" w:rsidRPr="002E2DF5">
        <w:rPr>
          <w:rFonts w:eastAsia="Arial" w:cs="Times New Roman"/>
          <w:bCs/>
          <w:color w:val="000000" w:themeColor="text1"/>
          <w:szCs w:val="28"/>
          <w:lang w:val="vi-VN"/>
        </w:rPr>
        <w:t xml:space="preserve"> năm 202</w:t>
      </w:r>
      <w:r w:rsidR="002116C1" w:rsidRPr="002E2DF5">
        <w:rPr>
          <w:rFonts w:eastAsia="Arial" w:cs="Times New Roman"/>
          <w:bCs/>
          <w:color w:val="000000" w:themeColor="text1"/>
          <w:szCs w:val="28"/>
          <w:lang w:val="vi-VN"/>
        </w:rPr>
        <w:t>5 đến hết ngày ngày 30 tháng 6 năm 2026</w:t>
      </w:r>
      <w:r w:rsidR="004A52B2" w:rsidRPr="002E2DF5">
        <w:rPr>
          <w:rFonts w:eastAsia="Arial" w:cs="Times New Roman"/>
          <w:bCs/>
          <w:color w:val="000000" w:themeColor="text1"/>
          <w:szCs w:val="28"/>
          <w:lang w:val="vi-VN"/>
        </w:rPr>
        <w:t>;</w:t>
      </w:r>
    </w:p>
    <w:p w14:paraId="29464DDD" w14:textId="691B48B0" w:rsidR="007311FF" w:rsidRPr="002E2DF5" w:rsidRDefault="007311FF" w:rsidP="00345857">
      <w:pPr>
        <w:shd w:val="clear" w:color="auto" w:fill="FFFFFF"/>
        <w:spacing w:after="120"/>
        <w:ind w:firstLine="709"/>
        <w:jc w:val="both"/>
        <w:rPr>
          <w:rFonts w:eastAsia="Arial" w:cs="Times New Roman"/>
          <w:bCs/>
          <w:color w:val="000000" w:themeColor="text1"/>
          <w:szCs w:val="28"/>
          <w:lang w:val="vi-VN"/>
        </w:rPr>
      </w:pPr>
      <w:r w:rsidRPr="002E2DF5">
        <w:rPr>
          <w:rFonts w:eastAsia="Arial" w:cs="Times New Roman"/>
          <w:bCs/>
          <w:color w:val="000000" w:themeColor="text1"/>
          <w:szCs w:val="28"/>
          <w:lang w:val="vi-VN"/>
        </w:rPr>
        <w:t>b) 50% mức hưởng khi khám bệnh, chữa bệnh ngoại trú trong trường hợp khám bệnh, chữa bệnh tại cơ sở khám bệnh, chữa bệnh cấp chuyên sâu mà trước ngày 01 tháng 01 năm 2025 đã được cơ quan có thẩm quyền xác định là tuyến tỉnh thực hiện từ ngày 01 tháng 7 năm 2026</w:t>
      </w:r>
      <w:r w:rsidR="004E275F" w:rsidRPr="002E2DF5">
        <w:rPr>
          <w:rFonts w:eastAsia="Arial" w:cs="Times New Roman"/>
          <w:bCs/>
          <w:color w:val="000000" w:themeColor="text1"/>
          <w:szCs w:val="28"/>
          <w:lang w:val="vi-VN"/>
        </w:rPr>
        <w:t>.</w:t>
      </w:r>
    </w:p>
    <w:p w14:paraId="054A2DF2" w14:textId="1DC52B79" w:rsidR="00273D46" w:rsidRPr="002E2DF5" w:rsidRDefault="00AB34EA" w:rsidP="00345857">
      <w:pPr>
        <w:shd w:val="clear" w:color="auto" w:fill="FFFFFF"/>
        <w:spacing w:after="120"/>
        <w:ind w:firstLine="709"/>
        <w:jc w:val="both"/>
        <w:rPr>
          <w:rFonts w:eastAsia="Arial" w:cs="Times New Roman"/>
          <w:bCs/>
          <w:color w:val="000000" w:themeColor="text1"/>
          <w:szCs w:val="28"/>
          <w:lang w:val="vi-VN"/>
        </w:rPr>
      </w:pPr>
      <w:r w:rsidRPr="002E2DF5">
        <w:rPr>
          <w:rFonts w:eastAsia="Arial" w:cs="Times New Roman"/>
          <w:bCs/>
          <w:color w:val="000000" w:themeColor="text1"/>
          <w:szCs w:val="28"/>
          <w:lang w:val="vi-VN"/>
        </w:rPr>
        <w:t>7</w:t>
      </w:r>
      <w:r w:rsidR="00273D46" w:rsidRPr="002E2DF5">
        <w:rPr>
          <w:rFonts w:eastAsia="Arial" w:cs="Times New Roman"/>
          <w:bCs/>
          <w:color w:val="000000" w:themeColor="text1"/>
          <w:szCs w:val="28"/>
          <w:lang w:val="vi-VN"/>
        </w:rPr>
        <w:t xml:space="preserve">. </w:t>
      </w:r>
      <w:r w:rsidR="00116F51" w:rsidRPr="002E2DF5">
        <w:rPr>
          <w:rFonts w:eastAsia="Arial" w:cs="Times New Roman"/>
          <w:bCs/>
          <w:color w:val="000000" w:themeColor="text1"/>
          <w:szCs w:val="28"/>
          <w:lang w:val="vi-VN"/>
        </w:rPr>
        <w:t xml:space="preserve">Trường hợp quy định tại điểm </w:t>
      </w:r>
      <w:r w:rsidR="00C24108" w:rsidRPr="002E2DF5">
        <w:rPr>
          <w:rFonts w:eastAsia="Arial" w:cs="Times New Roman"/>
          <w:bCs/>
          <w:color w:val="000000" w:themeColor="text1"/>
          <w:szCs w:val="28"/>
          <w:lang w:val="vi-VN"/>
        </w:rPr>
        <w:t xml:space="preserve">a khoản </w:t>
      </w:r>
      <w:r w:rsidR="009F7E94" w:rsidRPr="002E2DF5">
        <w:rPr>
          <w:rFonts w:eastAsia="Arial" w:cs="Times New Roman"/>
          <w:bCs/>
          <w:color w:val="000000" w:themeColor="text1"/>
          <w:szCs w:val="28"/>
          <w:lang w:val="vi-VN"/>
        </w:rPr>
        <w:t>5</w:t>
      </w:r>
      <w:r w:rsidR="00C24108" w:rsidRPr="002E2DF5">
        <w:rPr>
          <w:rFonts w:eastAsia="Arial" w:cs="Times New Roman"/>
          <w:bCs/>
          <w:color w:val="000000" w:themeColor="text1"/>
          <w:szCs w:val="28"/>
          <w:lang w:val="vi-VN"/>
        </w:rPr>
        <w:t xml:space="preserve"> Điều này được tính để </w:t>
      </w:r>
      <w:r w:rsidR="007D70DE" w:rsidRPr="002E2DF5">
        <w:rPr>
          <w:rFonts w:eastAsia="Arial" w:cs="Times New Roman"/>
          <w:bCs/>
          <w:color w:val="000000" w:themeColor="text1"/>
          <w:szCs w:val="28"/>
          <w:lang w:val="vi-VN"/>
        </w:rPr>
        <w:t>xác định số tiền cùng chi trả chi phí khám bệnh, chữa bệnh trong năm quy định tại điểm d khoản 1 Điều 22 Luật Bảo hiểm y tế</w:t>
      </w:r>
      <w:r w:rsidR="008034C2" w:rsidRPr="002E2DF5">
        <w:rPr>
          <w:rFonts w:eastAsia="Arial" w:cs="Times New Roman"/>
          <w:bCs/>
          <w:color w:val="000000" w:themeColor="text1"/>
          <w:szCs w:val="28"/>
          <w:lang w:val="vi-VN"/>
        </w:rPr>
        <w:t>.</w:t>
      </w:r>
    </w:p>
    <w:p w14:paraId="5BEECBD1" w14:textId="58316D33" w:rsidR="00425513" w:rsidRPr="002E2DF5" w:rsidRDefault="00AB34EA" w:rsidP="00345857">
      <w:pPr>
        <w:spacing w:after="120"/>
        <w:ind w:firstLine="709"/>
        <w:jc w:val="both"/>
        <w:rPr>
          <w:rFonts w:cs="Times New Roman"/>
          <w:color w:val="000000" w:themeColor="text1"/>
          <w:szCs w:val="28"/>
          <w:lang w:val="vi-VN"/>
        </w:rPr>
      </w:pPr>
      <w:r w:rsidRPr="002E2DF5">
        <w:rPr>
          <w:rFonts w:cs="Times New Roman"/>
          <w:color w:val="000000" w:themeColor="text1"/>
          <w:szCs w:val="28"/>
          <w:lang w:val="vi-VN"/>
        </w:rPr>
        <w:t>8</w:t>
      </w:r>
      <w:r w:rsidR="002142A9" w:rsidRPr="002E2DF5">
        <w:rPr>
          <w:rFonts w:cs="Times New Roman"/>
          <w:color w:val="000000" w:themeColor="text1"/>
          <w:szCs w:val="28"/>
          <w:lang w:val="vi-VN"/>
        </w:rPr>
        <w:t>.</w:t>
      </w:r>
      <w:r w:rsidR="00425513" w:rsidRPr="002E2DF5">
        <w:rPr>
          <w:rFonts w:cs="Times New Roman"/>
          <w:color w:val="000000" w:themeColor="text1"/>
          <w:szCs w:val="28"/>
          <w:lang w:val="vi-VN"/>
        </w:rPr>
        <w:t xml:space="preserve"> Đối với trường hợp người tham gia bảo hiểm y tế đi khám bệnh, chữa bệnh theo yêu cầu</w:t>
      </w:r>
      <w:r w:rsidR="003F0574" w:rsidRPr="002E2DF5">
        <w:rPr>
          <w:rFonts w:cs="Times New Roman"/>
          <w:color w:val="000000" w:themeColor="text1"/>
          <w:szCs w:val="28"/>
          <w:lang w:val="vi-VN"/>
        </w:rPr>
        <w:t>:</w:t>
      </w:r>
    </w:p>
    <w:p w14:paraId="36FCC8A9" w14:textId="6953C7C8" w:rsidR="00E71372" w:rsidRPr="002E2DF5" w:rsidRDefault="00425513" w:rsidP="00345857">
      <w:pPr>
        <w:spacing w:after="120"/>
        <w:ind w:firstLine="709"/>
        <w:jc w:val="both"/>
        <w:rPr>
          <w:rFonts w:cs="Times New Roman"/>
          <w:color w:val="000000" w:themeColor="text1"/>
          <w:szCs w:val="28"/>
          <w:lang w:val="pt-BR"/>
        </w:rPr>
      </w:pPr>
      <w:r w:rsidRPr="002E2DF5">
        <w:rPr>
          <w:rFonts w:cs="Times New Roman"/>
          <w:color w:val="000000" w:themeColor="text1"/>
          <w:szCs w:val="28"/>
          <w:lang w:val="pt-BR"/>
        </w:rPr>
        <w:t xml:space="preserve">a) Người có thẻ bảo hiểm y tế đi khám bệnh, chữa bệnh theo yêu cầu được quỹ </w:t>
      </w:r>
      <w:r w:rsidR="005B4F4D" w:rsidRPr="002E2DF5">
        <w:rPr>
          <w:rFonts w:cs="Times New Roman"/>
          <w:color w:val="000000" w:themeColor="text1"/>
          <w:szCs w:val="28"/>
          <w:lang w:val="pt-BR"/>
        </w:rPr>
        <w:t>b</w:t>
      </w:r>
      <w:r w:rsidR="00E71372" w:rsidRPr="002E2DF5">
        <w:rPr>
          <w:rFonts w:cs="Times New Roman"/>
          <w:color w:val="000000" w:themeColor="text1"/>
          <w:szCs w:val="28"/>
          <w:lang w:val="pt-BR"/>
        </w:rPr>
        <w:t xml:space="preserve">ảo hiểm y tế thanh toán phần chi phí khám bệnh, chữa bệnh theo phạm vi được hưởng (nếu có) theo quy định </w:t>
      </w:r>
      <w:r w:rsidR="00141303" w:rsidRPr="002E2DF5">
        <w:rPr>
          <w:rFonts w:cs="Times New Roman"/>
          <w:color w:val="000000" w:themeColor="text1"/>
          <w:szCs w:val="28"/>
          <w:lang w:val="pt-BR"/>
        </w:rPr>
        <w:t>tại điều 22</w:t>
      </w:r>
      <w:r w:rsidR="00E71372" w:rsidRPr="002E2DF5">
        <w:rPr>
          <w:rFonts w:cs="Times New Roman"/>
          <w:color w:val="000000" w:themeColor="text1"/>
          <w:szCs w:val="28"/>
          <w:lang w:val="pt-BR"/>
        </w:rPr>
        <w:t xml:space="preserve"> </w:t>
      </w:r>
      <w:r w:rsidR="00141303" w:rsidRPr="002E2DF5">
        <w:rPr>
          <w:rFonts w:cs="Times New Roman"/>
          <w:color w:val="000000" w:themeColor="text1"/>
          <w:szCs w:val="28"/>
          <w:lang w:val="pt-BR"/>
        </w:rPr>
        <w:t>L</w:t>
      </w:r>
      <w:r w:rsidR="00E71372" w:rsidRPr="002E2DF5">
        <w:rPr>
          <w:rFonts w:cs="Times New Roman"/>
          <w:color w:val="000000" w:themeColor="text1"/>
          <w:szCs w:val="28"/>
          <w:lang w:val="pt-BR"/>
        </w:rPr>
        <w:t xml:space="preserve">uật </w:t>
      </w:r>
      <w:r w:rsidR="009F00E9" w:rsidRPr="002E2DF5">
        <w:rPr>
          <w:rFonts w:cs="Times New Roman"/>
          <w:color w:val="000000" w:themeColor="text1"/>
          <w:szCs w:val="28"/>
          <w:lang w:val="pt-BR"/>
        </w:rPr>
        <w:t>B</w:t>
      </w:r>
      <w:r w:rsidR="00E71372" w:rsidRPr="002E2DF5">
        <w:rPr>
          <w:rFonts w:cs="Times New Roman"/>
          <w:color w:val="000000" w:themeColor="text1"/>
          <w:szCs w:val="28"/>
          <w:lang w:val="pt-BR"/>
        </w:rPr>
        <w:t xml:space="preserve">ảo hiểm y tế. Phần chênh lệch giữa giá dịch vụ khám bệnh, chữa bệnh theo yêu cầu với mức thanh toán của </w:t>
      </w:r>
      <w:r w:rsidR="00141303" w:rsidRPr="002E2DF5">
        <w:rPr>
          <w:rFonts w:cs="Times New Roman"/>
          <w:color w:val="000000" w:themeColor="text1"/>
          <w:szCs w:val="28"/>
          <w:lang w:val="pt-BR"/>
        </w:rPr>
        <w:t>q</w:t>
      </w:r>
      <w:r w:rsidR="00E71372" w:rsidRPr="002E2DF5">
        <w:rPr>
          <w:rFonts w:cs="Times New Roman"/>
          <w:color w:val="000000" w:themeColor="text1"/>
          <w:szCs w:val="28"/>
          <w:lang w:val="pt-BR"/>
        </w:rPr>
        <w:t xml:space="preserve">uỹ </w:t>
      </w:r>
      <w:r w:rsidR="000E749E" w:rsidRPr="002E2DF5">
        <w:rPr>
          <w:rFonts w:cs="Times New Roman"/>
          <w:color w:val="000000" w:themeColor="text1"/>
          <w:szCs w:val="28"/>
          <w:lang w:val="pt-BR"/>
        </w:rPr>
        <w:t>b</w:t>
      </w:r>
      <w:r w:rsidR="00E71372" w:rsidRPr="002E2DF5">
        <w:rPr>
          <w:rFonts w:cs="Times New Roman"/>
          <w:color w:val="000000" w:themeColor="text1"/>
          <w:szCs w:val="28"/>
          <w:lang w:val="pt-BR"/>
        </w:rPr>
        <w:t>ảo hiểm y tế do người bệnh thanh toán cho cơ sở khám bệnh, chữa bệnh</w:t>
      </w:r>
      <w:r w:rsidR="009F00E9" w:rsidRPr="002E2DF5">
        <w:rPr>
          <w:rFonts w:cs="Times New Roman"/>
          <w:color w:val="000000" w:themeColor="text1"/>
          <w:szCs w:val="28"/>
          <w:lang w:val="pt-BR"/>
        </w:rPr>
        <w:t>;</w:t>
      </w:r>
    </w:p>
    <w:p w14:paraId="376D3F9B" w14:textId="77777777" w:rsidR="00223B0E" w:rsidRPr="002E2DF5" w:rsidRDefault="00425513" w:rsidP="00345857">
      <w:pPr>
        <w:spacing w:after="120"/>
        <w:ind w:firstLine="709"/>
        <w:jc w:val="both"/>
        <w:rPr>
          <w:rFonts w:cs="Times New Roman"/>
          <w:color w:val="000000" w:themeColor="text1"/>
          <w:szCs w:val="28"/>
          <w:lang w:val="pt-BR"/>
        </w:rPr>
      </w:pPr>
      <w:r w:rsidRPr="002E2DF5">
        <w:rPr>
          <w:rFonts w:cs="Times New Roman"/>
          <w:color w:val="000000" w:themeColor="text1"/>
          <w:szCs w:val="28"/>
          <w:lang w:val="pt-BR"/>
        </w:rPr>
        <w:t xml:space="preserve">b) Cơ sở khám bệnh, chữa bệnh có trách nhiệm bảo đảm về nhân lực, điều kiện chuyên môn, công </w:t>
      </w:r>
      <w:bookmarkStart w:id="3" w:name="_Hlk183137286"/>
      <w:r w:rsidRPr="002E2DF5">
        <w:rPr>
          <w:rFonts w:cs="Times New Roman"/>
          <w:color w:val="000000" w:themeColor="text1"/>
          <w:szCs w:val="28"/>
          <w:lang w:val="pt-BR"/>
        </w:rPr>
        <w:t>khai những khoản chi phí mà người bệnh phải chi trả ngoài phạm vi được hưởng và mức hưởng bảo hiểm y tế, phần chi phí chênh lệch và phải thông báo trước cho người bệnh.</w:t>
      </w:r>
    </w:p>
    <w:p w14:paraId="7F68360F" w14:textId="3E32727C" w:rsidR="00425513" w:rsidRPr="002E2DF5" w:rsidRDefault="00223B0E" w:rsidP="00345857">
      <w:pPr>
        <w:spacing w:after="120"/>
        <w:ind w:firstLine="709"/>
        <w:jc w:val="both"/>
        <w:rPr>
          <w:rFonts w:cs="Times New Roman"/>
          <w:color w:val="000000" w:themeColor="text1"/>
          <w:szCs w:val="28"/>
          <w:lang w:val="vi-VN"/>
        </w:rPr>
      </w:pPr>
      <w:r w:rsidRPr="002E2DF5">
        <w:rPr>
          <w:rFonts w:cs="Times New Roman"/>
          <w:color w:val="000000" w:themeColor="text1"/>
          <w:szCs w:val="28"/>
          <w:lang w:val="pt-BR"/>
        </w:rPr>
        <w:t xml:space="preserve">9. </w:t>
      </w:r>
      <w:r w:rsidR="00606A4C" w:rsidRPr="002E2DF5">
        <w:rPr>
          <w:rFonts w:cs="Times New Roman"/>
          <w:color w:val="000000" w:themeColor="text1"/>
          <w:szCs w:val="28"/>
          <w:lang w:val="vi-VN"/>
        </w:rPr>
        <w:t>Trường hợp chuyển đổi mức hưởng bảo hiểm y tế thì mức hưởng bảo hiểm y tế mới được tính từ thời điểm thẻ bảo hiểm y tế mới có giá trị sử dụng.</w:t>
      </w:r>
      <w:r w:rsidR="00425513" w:rsidRPr="002E2DF5">
        <w:rPr>
          <w:rFonts w:cs="Times New Roman"/>
          <w:color w:val="000000" w:themeColor="text1"/>
          <w:szCs w:val="28"/>
          <w:lang w:val="pt-BR"/>
        </w:rPr>
        <w:t>”</w:t>
      </w:r>
      <w:r w:rsidR="00821B80" w:rsidRPr="002E2DF5">
        <w:rPr>
          <w:rFonts w:cs="Times New Roman"/>
          <w:color w:val="000000" w:themeColor="text1"/>
          <w:szCs w:val="28"/>
          <w:lang w:val="vi-VN"/>
        </w:rPr>
        <w:t>.</w:t>
      </w:r>
      <w:bookmarkEnd w:id="0"/>
      <w:bookmarkEnd w:id="3"/>
    </w:p>
    <w:bookmarkEnd w:id="1"/>
    <w:p w14:paraId="3A78BE8D" w14:textId="365765DB" w:rsidR="00425513" w:rsidRPr="002E2DF5" w:rsidRDefault="000E7D84" w:rsidP="00345857">
      <w:pPr>
        <w:spacing w:after="120"/>
        <w:ind w:firstLine="709"/>
        <w:rPr>
          <w:color w:val="000000" w:themeColor="text1"/>
          <w:lang w:val="vi-VN"/>
        </w:rPr>
      </w:pPr>
      <w:r w:rsidRPr="002E2DF5">
        <w:rPr>
          <w:color w:val="000000" w:themeColor="text1"/>
          <w:lang w:val="vi-VN"/>
        </w:rPr>
        <w:t>2</w:t>
      </w:r>
      <w:r w:rsidR="009C7EE6" w:rsidRPr="002E2DF5">
        <w:rPr>
          <w:color w:val="000000" w:themeColor="text1"/>
          <w:lang w:val="vi-VN"/>
        </w:rPr>
        <w:t>.</w:t>
      </w:r>
      <w:r w:rsidR="00524317" w:rsidRPr="002E2DF5">
        <w:rPr>
          <w:color w:val="000000" w:themeColor="text1"/>
          <w:lang w:val="vi-VN"/>
        </w:rPr>
        <w:t xml:space="preserve"> </w:t>
      </w:r>
      <w:r w:rsidR="00FF73A9" w:rsidRPr="002E2DF5">
        <w:rPr>
          <w:color w:val="000000" w:themeColor="text1"/>
          <w:lang w:val="vi-VN"/>
        </w:rPr>
        <w:t>Sửa đổi</w:t>
      </w:r>
      <w:r w:rsidR="0098611C" w:rsidRPr="002E2DF5">
        <w:rPr>
          <w:color w:val="000000" w:themeColor="text1"/>
          <w:lang w:val="vi-VN"/>
        </w:rPr>
        <w:t>,</w:t>
      </w:r>
      <w:r w:rsidR="00FF73A9" w:rsidRPr="002E2DF5">
        <w:rPr>
          <w:color w:val="000000" w:themeColor="text1"/>
          <w:lang w:val="vi-VN"/>
        </w:rPr>
        <w:t xml:space="preserve"> bổ sung</w:t>
      </w:r>
      <w:r w:rsidR="00362591" w:rsidRPr="002E2DF5">
        <w:rPr>
          <w:color w:val="000000" w:themeColor="text1"/>
          <w:lang w:val="vi-VN"/>
        </w:rPr>
        <w:t xml:space="preserve"> </w:t>
      </w:r>
      <w:r w:rsidR="00FF73A9" w:rsidRPr="002E2DF5">
        <w:rPr>
          <w:color w:val="000000" w:themeColor="text1"/>
          <w:lang w:val="vi-VN"/>
        </w:rPr>
        <w:t>Điều 15 như sau</w:t>
      </w:r>
      <w:r w:rsidR="00D5424D" w:rsidRPr="002E2DF5">
        <w:rPr>
          <w:color w:val="000000" w:themeColor="text1"/>
          <w:lang w:val="vi-VN"/>
        </w:rPr>
        <w:t>:</w:t>
      </w:r>
    </w:p>
    <w:p w14:paraId="32DE049C" w14:textId="0D5D9C67" w:rsidR="00425513" w:rsidRPr="002E2DF5" w:rsidRDefault="009C7EE6" w:rsidP="00345857">
      <w:pPr>
        <w:spacing w:after="120"/>
        <w:ind w:firstLine="709"/>
        <w:jc w:val="both"/>
        <w:rPr>
          <w:color w:val="000000" w:themeColor="text1"/>
          <w:lang w:val="vi-VN"/>
        </w:rPr>
      </w:pPr>
      <w:bookmarkStart w:id="4" w:name="_Hlk183137535"/>
      <w:r w:rsidRPr="002E2DF5">
        <w:rPr>
          <w:color w:val="000000" w:themeColor="text1"/>
          <w:lang w:val="vi-VN"/>
        </w:rPr>
        <w:t>“</w:t>
      </w:r>
      <w:r w:rsidRPr="002E2DF5">
        <w:rPr>
          <w:b/>
          <w:bCs/>
          <w:color w:val="000000" w:themeColor="text1"/>
          <w:lang w:val="vi-VN"/>
        </w:rPr>
        <w:t>Điều 15. Thủ tục khám bệnh, chữa bệnh bảo hiểm y tế</w:t>
      </w:r>
      <w:r w:rsidR="00AA5BEF" w:rsidRPr="002E2DF5">
        <w:rPr>
          <w:b/>
          <w:bCs/>
          <w:color w:val="000000" w:themeColor="text1"/>
          <w:lang w:val="vi-VN"/>
        </w:rPr>
        <w:t xml:space="preserve"> quy định tại khoản 1 Điều 28 Luật Bảo hiểm y tế</w:t>
      </w:r>
    </w:p>
    <w:p w14:paraId="64B9519A" w14:textId="5963B307" w:rsidR="00EE4D02" w:rsidRPr="002E2DF5" w:rsidRDefault="00EE4D02" w:rsidP="00345857">
      <w:pPr>
        <w:spacing w:after="120"/>
        <w:ind w:firstLine="709"/>
        <w:jc w:val="both"/>
        <w:rPr>
          <w:bCs/>
          <w:color w:val="000000" w:themeColor="text1"/>
          <w:szCs w:val="28"/>
          <w:lang w:val="vi-VN"/>
        </w:rPr>
      </w:pPr>
      <w:r w:rsidRPr="002E2DF5">
        <w:rPr>
          <w:color w:val="000000" w:themeColor="text1"/>
          <w:szCs w:val="28"/>
          <w:lang w:val="vi-VN" w:eastAsia="vi-VN"/>
        </w:rPr>
        <w:t xml:space="preserve">1. </w:t>
      </w:r>
      <w:r w:rsidRPr="002E2DF5">
        <w:rPr>
          <w:bCs/>
          <w:color w:val="000000" w:themeColor="text1"/>
          <w:szCs w:val="28"/>
          <w:lang w:val="vi-VN"/>
        </w:rPr>
        <w:t>Người tham gia bảo hiểm y tế khi khám bệnh, chữa bệnh phải xuất trình thông tin về thẻ bảo hiểm y tế hoặc căn cước công dân hoặc căn cước; trường hợp</w:t>
      </w:r>
      <w:r w:rsidRPr="002E2DF5">
        <w:rPr>
          <w:b/>
          <w:color w:val="000000" w:themeColor="text1"/>
          <w:szCs w:val="28"/>
          <w:lang w:val="vi-VN"/>
        </w:rPr>
        <w:t xml:space="preserve">  </w:t>
      </w:r>
      <w:r w:rsidRPr="002E2DF5">
        <w:rPr>
          <w:bCs/>
          <w:color w:val="000000" w:themeColor="text1"/>
          <w:szCs w:val="28"/>
          <w:lang w:val="vi-VN"/>
        </w:rPr>
        <w:t xml:space="preserve">thông tin về thẻ bảo hiểm y tế không có ảnh thì phải xuất trình thêm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 hoặc giấy </w:t>
      </w:r>
      <w:r w:rsidRPr="002E2DF5">
        <w:rPr>
          <w:bCs/>
          <w:color w:val="000000" w:themeColor="text1"/>
          <w:szCs w:val="28"/>
          <w:lang w:val="vi-VN"/>
        </w:rPr>
        <w:lastRenderedPageBreak/>
        <w:t>tờ được định danh điện tử mức độ 2 theo quy định tại Nghị định số 59/2022/NĐ-CP ngày 05 tháng 9 năm 2022 của Chính phủ quy định về định danh và xác thực điện tử</w:t>
      </w:r>
      <w:r w:rsidR="000A7B7B" w:rsidRPr="002E2DF5">
        <w:rPr>
          <w:bCs/>
          <w:color w:val="000000" w:themeColor="text1"/>
          <w:szCs w:val="28"/>
          <w:lang w:val="vi-VN"/>
        </w:rPr>
        <w:t>.</w:t>
      </w:r>
    </w:p>
    <w:p w14:paraId="3B56B4CF" w14:textId="60D7F027" w:rsidR="009C7EE6" w:rsidRPr="002E2DF5" w:rsidRDefault="00EE4D02" w:rsidP="00345857">
      <w:pPr>
        <w:spacing w:after="120"/>
        <w:ind w:firstLine="709"/>
        <w:jc w:val="both"/>
        <w:rPr>
          <w:color w:val="000000" w:themeColor="text1"/>
          <w:szCs w:val="28"/>
          <w:lang w:val="vi-VN"/>
        </w:rPr>
      </w:pPr>
      <w:r w:rsidRPr="002E2DF5">
        <w:rPr>
          <w:color w:val="000000" w:themeColor="text1"/>
          <w:szCs w:val="28"/>
          <w:lang w:val="vi-VN" w:eastAsia="vi-VN"/>
        </w:rPr>
        <w:t>2. Trẻ em dưới 6 tuổi đến khám bệnh, chữa bệnh chỉ phải xuất trình thông tin về thẻ bảo hiểm y tế. Trường hợp trẻ chưa được cấp thông tin về thẻ bảo hiểm y tế thì phải xuất trình bản sao giấy chứng sinh hoặc bản sao gi</w:t>
      </w:r>
      <w:r w:rsidRPr="002E2DF5">
        <w:rPr>
          <w:color w:val="000000" w:themeColor="text1"/>
          <w:szCs w:val="28"/>
          <w:lang w:val="vi-VN"/>
        </w:rPr>
        <w:t>ấ</w:t>
      </w:r>
      <w:r w:rsidRPr="002E2DF5">
        <w:rPr>
          <w:color w:val="000000" w:themeColor="text1"/>
          <w:szCs w:val="28"/>
          <w:lang w:val="vi-VN" w:eastAsia="vi-VN"/>
        </w:rPr>
        <w:t>y khai sinh;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theo quy định tại khoản 1 Điều 27 Nghị định này và chịu trách nhiệm về việc xác nhận này</w:t>
      </w:r>
      <w:r w:rsidR="000A7B7B" w:rsidRPr="002E2DF5">
        <w:rPr>
          <w:color w:val="000000" w:themeColor="text1"/>
          <w:szCs w:val="28"/>
          <w:lang w:val="vi-VN" w:eastAsia="vi-VN"/>
        </w:rPr>
        <w:t>.</w:t>
      </w:r>
    </w:p>
    <w:p w14:paraId="0C1E393C" w14:textId="5724F57D" w:rsidR="00362591" w:rsidRPr="002E2DF5" w:rsidRDefault="00362591" w:rsidP="00345857">
      <w:pPr>
        <w:spacing w:after="120"/>
        <w:ind w:firstLine="709"/>
        <w:jc w:val="both"/>
        <w:rPr>
          <w:bCs/>
          <w:color w:val="000000" w:themeColor="text1"/>
          <w:lang w:val="vi-VN"/>
        </w:rPr>
      </w:pPr>
      <w:r w:rsidRPr="002E2DF5">
        <w:rPr>
          <w:bCs/>
          <w:color w:val="000000" w:themeColor="text1"/>
          <w:lang w:val="vi-VN"/>
        </w:rPr>
        <w:t>3. Người tham gia bảo hiểm y tế trong thời gian chờ cấp lại thẻ, đổi thẻ bảo hiểm y tế khi đến khám bệnh, chữa bệnh phải xuất trình giấy hẹn cấp lại thẻ, đổi thẻ bảo hiểm y tế do cơ quan bảo hiểm xã hội hoặc tổ chức, cá nhân được cơ quan bảo hiểm xã hội ủy quyền tiếp nhận hồ sơ cấp lại thẻ, đổi thẻ cấp theo </w:t>
      </w:r>
      <w:bookmarkStart w:id="5" w:name="bieumau_ms_4"/>
      <w:r w:rsidRPr="002E2DF5">
        <w:rPr>
          <w:bCs/>
          <w:color w:val="000000" w:themeColor="text1"/>
          <w:lang w:val="vi-VN"/>
        </w:rPr>
        <w:t>Mẫu số 4</w:t>
      </w:r>
      <w:bookmarkEnd w:id="5"/>
      <w:r w:rsidRPr="002E2DF5">
        <w:rPr>
          <w:bCs/>
          <w:color w:val="000000" w:themeColor="text1"/>
          <w:lang w:val="vi-VN"/>
        </w:rPr>
        <w:t> Phụ lục ban hành kèm theo Nghị định này và một loại giấy tờ chứng minh về nhân thân của người đó</w:t>
      </w:r>
      <w:r w:rsidR="000A7B7B" w:rsidRPr="002E2DF5">
        <w:rPr>
          <w:bCs/>
          <w:color w:val="000000" w:themeColor="text1"/>
          <w:lang w:val="vi-VN"/>
        </w:rPr>
        <w:t>.</w:t>
      </w:r>
    </w:p>
    <w:p w14:paraId="6D79CFC4" w14:textId="3FEA96C6" w:rsidR="00362591" w:rsidRPr="002E2DF5" w:rsidRDefault="00362591" w:rsidP="00345857">
      <w:pPr>
        <w:spacing w:after="120"/>
        <w:ind w:firstLine="709"/>
        <w:jc w:val="both"/>
        <w:rPr>
          <w:bCs/>
          <w:color w:val="000000" w:themeColor="text1"/>
          <w:lang w:val="vi-VN"/>
        </w:rPr>
      </w:pPr>
      <w:r w:rsidRPr="002E2DF5">
        <w:rPr>
          <w:bCs/>
          <w:color w:val="000000" w:themeColor="text1"/>
          <w:lang w:val="vi-VN"/>
        </w:rPr>
        <w:t>4. Người đã hiến bộ phận cơ thể đến khám bệnh, chữa bệnh phải xuất trình các giấy tờ quy định tại khoản 1 hoặc khoản 3 Điều này. Trường hợp phải điều trị ngay sau khi hiến thì thủ trưởng cơ sở khám bệnh, chữa bệnh nơi lấy bộ phận cơ thể và người bệnh hoặc thân nhân của người bệnh ký xác nhận vào hồ sơ bệnh án để làm căn cứ thanh toán theo quy định tại </w:t>
      </w:r>
      <w:bookmarkStart w:id="6" w:name="tc_60"/>
      <w:r w:rsidRPr="002E2DF5">
        <w:rPr>
          <w:bCs/>
          <w:color w:val="000000" w:themeColor="text1"/>
          <w:lang w:val="vi-VN"/>
        </w:rPr>
        <w:t>khoản 2 Điều 27 Nghị định này</w:t>
      </w:r>
      <w:bookmarkEnd w:id="6"/>
      <w:r w:rsidRPr="002E2DF5">
        <w:rPr>
          <w:bCs/>
          <w:color w:val="000000" w:themeColor="text1"/>
          <w:lang w:val="vi-VN"/>
        </w:rPr>
        <w:t> và chịu trách nhiệm về việc xác nhận này</w:t>
      </w:r>
      <w:r w:rsidR="000A7B7B" w:rsidRPr="002E2DF5">
        <w:rPr>
          <w:bCs/>
          <w:color w:val="000000" w:themeColor="text1"/>
          <w:lang w:val="vi-VN"/>
        </w:rPr>
        <w:t>.</w:t>
      </w:r>
    </w:p>
    <w:p w14:paraId="39286B15" w14:textId="750B66BA" w:rsidR="00362591" w:rsidRPr="002E2DF5" w:rsidRDefault="0010183B" w:rsidP="00345857">
      <w:pPr>
        <w:spacing w:after="120"/>
        <w:ind w:firstLine="709"/>
        <w:jc w:val="both"/>
        <w:rPr>
          <w:color w:val="000000" w:themeColor="text1"/>
          <w:szCs w:val="28"/>
          <w:lang w:val="vi-VN" w:eastAsia="vi-VN"/>
        </w:rPr>
      </w:pPr>
      <w:r w:rsidRPr="002E2DF5">
        <w:rPr>
          <w:rFonts w:cs="Times New Roman"/>
          <w:color w:val="000000" w:themeColor="text1"/>
          <w:szCs w:val="28"/>
          <w:lang w:val="vi-VN"/>
        </w:rPr>
        <w:t>5</w:t>
      </w:r>
      <w:r w:rsidR="009C7EE6" w:rsidRPr="002E2DF5">
        <w:rPr>
          <w:rFonts w:cs="Times New Roman"/>
          <w:color w:val="000000" w:themeColor="text1"/>
          <w:szCs w:val="28"/>
          <w:lang w:val="vi-VN"/>
        </w:rPr>
        <w:t xml:space="preserve">. </w:t>
      </w:r>
      <w:r w:rsidR="00362591" w:rsidRPr="002E2DF5">
        <w:rPr>
          <w:color w:val="000000" w:themeColor="text1"/>
          <w:szCs w:val="28"/>
          <w:lang w:val="vi-VN" w:eastAsia="vi-VN"/>
        </w:rPr>
        <w:t xml:space="preserve">Trường hợp cấp cứu, người tham gia bảo hiểm y tế được đến khám bệnh, chữa bệnh tại bất kỳ cơ sở khám bệnh, chữa bệnh nào và phải xuất trình các giấy tờ quy định tại khoản 1 hoặc khoản 2 hoặc khoản 3 Điều này trước khi </w:t>
      </w:r>
      <w:r w:rsidR="00F847BF" w:rsidRPr="002E2DF5">
        <w:rPr>
          <w:color w:val="000000" w:themeColor="text1"/>
          <w:szCs w:val="28"/>
          <w:lang w:val="vi-VN" w:eastAsia="vi-VN"/>
        </w:rPr>
        <w:t>kết thúc đợt điều trị</w:t>
      </w:r>
      <w:r w:rsidR="00362591" w:rsidRPr="002E2DF5">
        <w:rPr>
          <w:color w:val="000000" w:themeColor="text1"/>
          <w:szCs w:val="28"/>
          <w:lang w:val="vi-VN" w:eastAsia="vi-VN"/>
        </w:rPr>
        <w:t xml:space="preserve">. </w:t>
      </w:r>
    </w:p>
    <w:p w14:paraId="72908150" w14:textId="7FE38B5C" w:rsidR="005457D6" w:rsidRPr="002E2DF5" w:rsidRDefault="0010183B" w:rsidP="00345857">
      <w:pPr>
        <w:spacing w:after="120"/>
        <w:ind w:firstLine="709"/>
        <w:jc w:val="both"/>
        <w:rPr>
          <w:rFonts w:cs="Times New Roman"/>
          <w:color w:val="000000" w:themeColor="text1"/>
          <w:szCs w:val="28"/>
          <w:lang w:val="vi-VN"/>
        </w:rPr>
      </w:pPr>
      <w:r w:rsidRPr="002E2DF5">
        <w:rPr>
          <w:rFonts w:cs="Times New Roman"/>
          <w:color w:val="000000" w:themeColor="text1"/>
          <w:szCs w:val="28"/>
          <w:lang w:val="vi-VN"/>
        </w:rPr>
        <w:t>6</w:t>
      </w:r>
      <w:r w:rsidR="00362591" w:rsidRPr="002E2DF5">
        <w:rPr>
          <w:rFonts w:cs="Times New Roman"/>
          <w:color w:val="000000" w:themeColor="text1"/>
          <w:szCs w:val="28"/>
          <w:lang w:val="vi-VN"/>
        </w:rPr>
        <w:t>.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không được yêu cầu người bệnh sao chụp hoặc chi trả cho khoản chi phí này.</w:t>
      </w:r>
      <w:r w:rsidR="000A7B7B" w:rsidRPr="002E2DF5">
        <w:rPr>
          <w:rFonts w:cs="Times New Roman"/>
          <w:color w:val="000000" w:themeColor="text1"/>
          <w:szCs w:val="28"/>
          <w:lang w:val="vi-VN"/>
        </w:rPr>
        <w:t>”</w:t>
      </w:r>
      <w:r w:rsidR="00AD0EF8" w:rsidRPr="002E2DF5">
        <w:rPr>
          <w:rFonts w:cs="Times New Roman"/>
          <w:color w:val="000000" w:themeColor="text1"/>
          <w:szCs w:val="28"/>
          <w:lang w:val="vi-VN"/>
        </w:rPr>
        <w:t>.</w:t>
      </w:r>
    </w:p>
    <w:bookmarkEnd w:id="4"/>
    <w:p w14:paraId="42BD9B17" w14:textId="1355275D" w:rsidR="000020A4" w:rsidRPr="002E2DF5" w:rsidRDefault="000E7D84" w:rsidP="00345857">
      <w:pPr>
        <w:pStyle w:val="Heading2"/>
        <w:spacing w:before="0"/>
        <w:ind w:firstLine="709"/>
        <w:rPr>
          <w:color w:val="000000" w:themeColor="text1"/>
          <w:lang w:val="vi-VN"/>
        </w:rPr>
      </w:pPr>
      <w:r w:rsidRPr="002E2DF5">
        <w:rPr>
          <w:color w:val="000000" w:themeColor="text1"/>
          <w:lang w:val="vi-VN"/>
        </w:rPr>
        <w:t>3</w:t>
      </w:r>
      <w:r w:rsidR="000020A4" w:rsidRPr="002E2DF5">
        <w:rPr>
          <w:color w:val="000000" w:themeColor="text1"/>
          <w:lang w:val="vi-VN"/>
        </w:rPr>
        <w:t>. Sửa đổi điểm c Khoản 1 Điều 16</w:t>
      </w:r>
      <w:r w:rsidR="00D13890" w:rsidRPr="002E2DF5">
        <w:rPr>
          <w:color w:val="000000" w:themeColor="text1"/>
          <w:lang w:val="vi-VN"/>
        </w:rPr>
        <w:t xml:space="preserve"> như sau:</w:t>
      </w:r>
    </w:p>
    <w:p w14:paraId="1D1E8ADA" w14:textId="7DD71081" w:rsidR="002736CF" w:rsidRPr="002E2DF5" w:rsidRDefault="009C7EE6" w:rsidP="00345857">
      <w:pPr>
        <w:spacing w:after="120"/>
        <w:ind w:firstLine="709"/>
        <w:jc w:val="both"/>
        <w:rPr>
          <w:rFonts w:cs="Times New Roman"/>
          <w:color w:val="000000" w:themeColor="text1"/>
          <w:szCs w:val="28"/>
          <w:lang w:val="vi-VN"/>
        </w:rPr>
      </w:pPr>
      <w:bookmarkStart w:id="7" w:name="_Hlk183137586"/>
      <w:r w:rsidRPr="002E2DF5">
        <w:rPr>
          <w:rFonts w:cs="Times New Roman"/>
          <w:color w:val="000000" w:themeColor="text1"/>
          <w:szCs w:val="28"/>
          <w:lang w:val="vi-VN"/>
        </w:rPr>
        <w:t xml:space="preserve">“c) </w:t>
      </w:r>
      <w:r w:rsidR="00C34B1E" w:rsidRPr="002E2DF5">
        <w:rPr>
          <w:rFonts w:cs="Times New Roman"/>
          <w:color w:val="000000" w:themeColor="text1"/>
          <w:szCs w:val="28"/>
          <w:lang w:val="vi-VN"/>
        </w:rPr>
        <w:t xml:space="preserve">Quyết định xếp cấp chuyên môn kỹ thuật </w:t>
      </w:r>
      <w:r w:rsidR="00116310" w:rsidRPr="002E2DF5">
        <w:rPr>
          <w:rFonts w:cs="Times New Roman"/>
          <w:color w:val="000000" w:themeColor="text1"/>
          <w:szCs w:val="28"/>
          <w:lang w:val="vi-VN"/>
        </w:rPr>
        <w:t>đối với</w:t>
      </w:r>
      <w:r w:rsidR="00C34B1E" w:rsidRPr="002E2DF5">
        <w:rPr>
          <w:rFonts w:cs="Times New Roman"/>
          <w:color w:val="000000" w:themeColor="text1"/>
          <w:szCs w:val="28"/>
          <w:lang w:val="vi-VN"/>
        </w:rPr>
        <w:t xml:space="preserve"> cơ sở </w:t>
      </w:r>
      <w:r w:rsidR="0076592D" w:rsidRPr="002E2DF5">
        <w:rPr>
          <w:rFonts w:cs="Times New Roman"/>
          <w:color w:val="000000" w:themeColor="text1"/>
          <w:szCs w:val="28"/>
          <w:lang w:val="vi-VN"/>
        </w:rPr>
        <w:t>khám bệnh, chữa bệnh</w:t>
      </w:r>
      <w:r w:rsidR="00C34B1E" w:rsidRPr="002E2DF5">
        <w:rPr>
          <w:rFonts w:cs="Times New Roman"/>
          <w:color w:val="000000" w:themeColor="text1"/>
          <w:szCs w:val="28"/>
          <w:lang w:val="vi-VN"/>
        </w:rPr>
        <w:t xml:space="preserve"> của cấp có thẩm quyền. </w:t>
      </w:r>
      <w:r w:rsidR="00A26CBA" w:rsidRPr="002E2DF5">
        <w:rPr>
          <w:rFonts w:cs="Times New Roman"/>
          <w:color w:val="000000" w:themeColor="text1"/>
          <w:szCs w:val="28"/>
          <w:lang w:val="vi-VN"/>
        </w:rPr>
        <w:t>V</w:t>
      </w:r>
      <w:r w:rsidR="00116310" w:rsidRPr="002E2DF5">
        <w:rPr>
          <w:rFonts w:cs="Times New Roman"/>
          <w:color w:val="000000" w:themeColor="text1"/>
          <w:szCs w:val="28"/>
          <w:lang w:val="vi-VN"/>
        </w:rPr>
        <w:t xml:space="preserve">ăn bản của cấp có thẩm quyền </w:t>
      </w:r>
      <w:r w:rsidR="006B69E4" w:rsidRPr="002E2DF5">
        <w:rPr>
          <w:rFonts w:cs="Times New Roman"/>
          <w:color w:val="000000" w:themeColor="text1"/>
          <w:szCs w:val="28"/>
          <w:lang w:val="vi-VN"/>
        </w:rPr>
        <w:t>xác định</w:t>
      </w:r>
      <w:r w:rsidR="00C34B1E" w:rsidRPr="002E2DF5">
        <w:rPr>
          <w:rFonts w:cs="Times New Roman"/>
          <w:color w:val="000000" w:themeColor="text1"/>
          <w:szCs w:val="28"/>
          <w:lang w:val="vi-VN"/>
        </w:rPr>
        <w:t xml:space="preserve"> tuyến</w:t>
      </w:r>
      <w:r w:rsidR="002736CF" w:rsidRPr="002E2DF5">
        <w:rPr>
          <w:rFonts w:cs="Times New Roman"/>
          <w:color w:val="000000" w:themeColor="text1"/>
          <w:szCs w:val="28"/>
          <w:lang w:val="vi-VN"/>
        </w:rPr>
        <w:t xml:space="preserve"> chuyên môn kỹ thuật </w:t>
      </w:r>
      <w:r w:rsidR="006B69E4" w:rsidRPr="002E2DF5">
        <w:rPr>
          <w:rFonts w:cs="Times New Roman"/>
          <w:color w:val="000000" w:themeColor="text1"/>
          <w:szCs w:val="28"/>
          <w:lang w:val="vi-VN"/>
        </w:rPr>
        <w:t xml:space="preserve">đối với cơ sở khám bệnh, chữa bệnh </w:t>
      </w:r>
      <w:r w:rsidR="002736CF" w:rsidRPr="002E2DF5">
        <w:rPr>
          <w:rFonts w:cs="Times New Roman"/>
          <w:color w:val="000000" w:themeColor="text1"/>
          <w:szCs w:val="28"/>
          <w:lang w:val="vi-VN"/>
        </w:rPr>
        <w:t>trước ngày 01 tháng 01 năm 2025</w:t>
      </w:r>
      <w:r w:rsidR="0076592D" w:rsidRPr="002E2DF5">
        <w:rPr>
          <w:rFonts w:cs="Times New Roman"/>
          <w:color w:val="000000" w:themeColor="text1"/>
          <w:szCs w:val="28"/>
          <w:lang w:val="vi-VN"/>
        </w:rPr>
        <w:t xml:space="preserve"> </w:t>
      </w:r>
      <w:r w:rsidR="005D7F09" w:rsidRPr="002E2DF5">
        <w:rPr>
          <w:rFonts w:cs="Times New Roman"/>
          <w:color w:val="000000" w:themeColor="text1"/>
          <w:szCs w:val="28"/>
          <w:lang w:val="vi-VN"/>
        </w:rPr>
        <w:t xml:space="preserve">đối với các trường hợp quy định tại </w:t>
      </w:r>
      <w:r w:rsidR="00464EAD" w:rsidRPr="002E2DF5">
        <w:rPr>
          <w:rFonts w:cs="Times New Roman"/>
          <w:color w:val="000000" w:themeColor="text1"/>
          <w:szCs w:val="28"/>
          <w:lang w:val="vi-VN"/>
        </w:rPr>
        <w:t>các điểm đ, e và h khoản 4 Điều 22 Luật Bảo hiểm y tế</w:t>
      </w:r>
      <w:r w:rsidR="00A26CBA" w:rsidRPr="002E2DF5">
        <w:rPr>
          <w:rFonts w:cs="Times New Roman"/>
          <w:color w:val="000000" w:themeColor="text1"/>
          <w:szCs w:val="28"/>
          <w:lang w:val="vi-VN"/>
        </w:rPr>
        <w:t>.”</w:t>
      </w:r>
      <w:r w:rsidR="00CC7355" w:rsidRPr="002E2DF5">
        <w:rPr>
          <w:rFonts w:cs="Times New Roman"/>
          <w:color w:val="000000" w:themeColor="text1"/>
          <w:szCs w:val="28"/>
          <w:lang w:val="vi-VN"/>
        </w:rPr>
        <w:t>.</w:t>
      </w:r>
    </w:p>
    <w:bookmarkEnd w:id="7"/>
    <w:p w14:paraId="7DE2FCE0" w14:textId="38C0BAF3" w:rsidR="00981090" w:rsidRPr="002E2DF5" w:rsidRDefault="006E2D44" w:rsidP="00345857">
      <w:pPr>
        <w:pStyle w:val="Heading2"/>
        <w:spacing w:before="0"/>
        <w:ind w:firstLine="709"/>
        <w:rPr>
          <w:color w:val="000000" w:themeColor="text1"/>
          <w:lang w:val="vi-VN"/>
        </w:rPr>
      </w:pPr>
      <w:r w:rsidRPr="002E2DF5">
        <w:rPr>
          <w:color w:val="000000" w:themeColor="text1"/>
          <w:lang w:val="vi-VN"/>
        </w:rPr>
        <w:t>4</w:t>
      </w:r>
      <w:r w:rsidR="001C76E2" w:rsidRPr="002E2DF5">
        <w:rPr>
          <w:color w:val="000000" w:themeColor="text1"/>
          <w:lang w:val="vi-VN"/>
        </w:rPr>
        <w:t>. Sửa đổi</w:t>
      </w:r>
      <w:r w:rsidR="00557039" w:rsidRPr="002E2DF5">
        <w:rPr>
          <w:color w:val="000000" w:themeColor="text1"/>
          <w:lang w:val="vi-VN"/>
        </w:rPr>
        <w:t>,</w:t>
      </w:r>
      <w:r w:rsidR="001C76E2" w:rsidRPr="002E2DF5">
        <w:rPr>
          <w:color w:val="000000" w:themeColor="text1"/>
          <w:lang w:val="vi-VN"/>
        </w:rPr>
        <w:t xml:space="preserve"> bổ sung </w:t>
      </w:r>
      <w:r w:rsidR="00557039" w:rsidRPr="002E2DF5">
        <w:rPr>
          <w:color w:val="000000" w:themeColor="text1"/>
          <w:lang w:val="vi-VN"/>
        </w:rPr>
        <w:t>Đ</w:t>
      </w:r>
      <w:r w:rsidR="001C76E2" w:rsidRPr="002E2DF5">
        <w:rPr>
          <w:color w:val="000000" w:themeColor="text1"/>
          <w:lang w:val="vi-VN"/>
        </w:rPr>
        <w:t>iều 26</w:t>
      </w:r>
      <w:r w:rsidR="00CE352A" w:rsidRPr="002E2DF5">
        <w:rPr>
          <w:color w:val="000000" w:themeColor="text1"/>
          <w:lang w:val="vi-VN"/>
        </w:rPr>
        <w:t xml:space="preserve"> </w:t>
      </w:r>
      <w:r w:rsidR="005A61F2" w:rsidRPr="002E2DF5">
        <w:rPr>
          <w:color w:val="000000" w:themeColor="text1"/>
          <w:lang w:val="vi-VN"/>
        </w:rPr>
        <w:t>như sau:</w:t>
      </w:r>
    </w:p>
    <w:p w14:paraId="41D8A4F9" w14:textId="3FF92C53" w:rsidR="007E4918" w:rsidRPr="002E2DF5" w:rsidRDefault="00C84362" w:rsidP="00345857">
      <w:pPr>
        <w:spacing w:after="120"/>
        <w:ind w:firstLine="709"/>
        <w:jc w:val="both"/>
        <w:rPr>
          <w:color w:val="000000" w:themeColor="text1"/>
          <w:szCs w:val="28"/>
          <w:lang w:val="vi-VN"/>
        </w:rPr>
      </w:pPr>
      <w:r w:rsidRPr="002E2DF5">
        <w:rPr>
          <w:color w:val="000000" w:themeColor="text1"/>
          <w:szCs w:val="28"/>
          <w:lang w:val="vi-VN" w:eastAsia="vi-VN"/>
        </w:rPr>
        <w:t>“</w:t>
      </w:r>
      <w:r w:rsidR="007E4918" w:rsidRPr="002E2DF5">
        <w:rPr>
          <w:color w:val="000000" w:themeColor="text1"/>
          <w:szCs w:val="28"/>
          <w:lang w:val="vi-VN" w:eastAsia="vi-VN"/>
        </w:rPr>
        <w:t>Điều 26. Thanh toán chi phí vận chuyển người bệnh</w:t>
      </w:r>
      <w:r w:rsidR="000A7B7B" w:rsidRPr="002E2DF5">
        <w:rPr>
          <w:color w:val="000000" w:themeColor="text1"/>
          <w:szCs w:val="28"/>
          <w:lang w:val="vi-VN" w:eastAsia="vi-VN"/>
        </w:rPr>
        <w:t>.</w:t>
      </w:r>
    </w:p>
    <w:p w14:paraId="08965380" w14:textId="4597898A" w:rsidR="009C7EE6" w:rsidRPr="002E2DF5" w:rsidRDefault="007E3EF1" w:rsidP="00345857">
      <w:pPr>
        <w:spacing w:after="120"/>
        <w:ind w:firstLine="709"/>
        <w:jc w:val="both"/>
        <w:rPr>
          <w:rFonts w:cs="Times New Roman"/>
          <w:color w:val="000000" w:themeColor="text1"/>
          <w:szCs w:val="28"/>
          <w:lang w:val="vi-VN"/>
        </w:rPr>
      </w:pPr>
      <w:bookmarkStart w:id="8" w:name="_Hlk183137795"/>
      <w:r w:rsidRPr="002E2DF5">
        <w:rPr>
          <w:rFonts w:cs="Times New Roman"/>
          <w:color w:val="000000" w:themeColor="text1"/>
          <w:szCs w:val="28"/>
          <w:lang w:val="vi-VN"/>
        </w:rPr>
        <w:lastRenderedPageBreak/>
        <w:t>1.</w:t>
      </w:r>
      <w:r w:rsidR="009C7EE6" w:rsidRPr="002E2DF5">
        <w:rPr>
          <w:rFonts w:cs="Times New Roman"/>
          <w:color w:val="000000" w:themeColor="text1"/>
          <w:szCs w:val="28"/>
          <w:lang w:val="vi-VN"/>
        </w:rPr>
        <w:t xml:space="preserve"> Trường hợp sử dụng phương tiện vận chuyển của cơ sở khám bệnh, chữa bệnh chỉ định chuyển người bệnh thì quỹ bảo hiểm y tế thanh toán chi phí vận chuyển cả chiều đi và về cho cơ sở khám bệnh, chữa bệnh đó theo mức bằng 0,2 lít xăng/km tính theo khoảng cách thực tế giữa hai cơ sở khám bệnh, chữa bệnh và giá xăng tại thời điểm chuyển người bệnh. Nếu có nhiều hơn một người bệnh cùng được vận chuyển trên một phương tiện thì mức thanh toán cũng chỉ được tính như đối với vận chuyển một người bệnh. Cơ sở khám bệnh, chữa bệnh tiếp nhận người bệnh ký xác nhận trên phiếu điều xe của cơ sở chuyển người bệnh đi; trường hợp ngoài giờ hành chính thì phải có chữ ký của bác sỹ tiếp nhận người bệnh;</w:t>
      </w:r>
    </w:p>
    <w:p w14:paraId="3181A824" w14:textId="61844900" w:rsidR="0050379C" w:rsidRPr="002E2DF5" w:rsidRDefault="007E3EF1" w:rsidP="00345857">
      <w:pPr>
        <w:spacing w:after="120"/>
        <w:ind w:firstLine="709"/>
        <w:jc w:val="both"/>
        <w:rPr>
          <w:rFonts w:cs="Times New Roman"/>
          <w:color w:val="000000" w:themeColor="text1"/>
          <w:szCs w:val="28"/>
          <w:lang w:val="vi-VN"/>
        </w:rPr>
      </w:pPr>
      <w:r w:rsidRPr="002E2DF5">
        <w:rPr>
          <w:rFonts w:cs="Times New Roman"/>
          <w:color w:val="000000" w:themeColor="text1"/>
          <w:szCs w:val="28"/>
          <w:lang w:val="vi-VN"/>
        </w:rPr>
        <w:t>2.</w:t>
      </w:r>
      <w:r w:rsidR="009C7EE6" w:rsidRPr="002E2DF5">
        <w:rPr>
          <w:rFonts w:cs="Times New Roman"/>
          <w:color w:val="000000" w:themeColor="text1"/>
          <w:szCs w:val="28"/>
          <w:lang w:val="vi-VN"/>
        </w:rPr>
        <w:t xml:space="preserve"> Trường hợp không sử dụng phương tiện vận chuyển của cơ sở khám bệnh, chữa bệnh thì quỹ bảo hiểm y tế thanh toán chi phí vận chuyển một chiều (chiều đi) cho người bệnh theo mức bằng 0,2 lít xăng/km tính theo khoảng cách thực tế giữa hai cơ sở khám bệnh, chữa bệnh và giá xăng tại thời điểm chuyển người bệnh đến cơ sở khám bệnh, chữa bệnh theo yêu cầu chuyên môn. Cơ sở khám bệnh, chữa bệnh chỉ định chuyển người bệnh có trách nhiệm thanh toán khoản chi này trực tiếp cho người bệnh trước khi chuyển, sau đó thanh toán với cơ quan bảo hiểm xã hội.</w:t>
      </w:r>
      <w:bookmarkEnd w:id="8"/>
      <w:r w:rsidR="009C7EE6" w:rsidRPr="002E2DF5">
        <w:rPr>
          <w:rFonts w:cs="Times New Roman"/>
          <w:color w:val="000000" w:themeColor="text1"/>
          <w:szCs w:val="28"/>
          <w:lang w:val="vi-VN"/>
        </w:rPr>
        <w:t>”</w:t>
      </w:r>
      <w:r w:rsidR="000A7B7B" w:rsidRPr="002E2DF5">
        <w:rPr>
          <w:rFonts w:cs="Times New Roman"/>
          <w:color w:val="000000" w:themeColor="text1"/>
          <w:szCs w:val="28"/>
          <w:lang w:val="vi-VN"/>
        </w:rPr>
        <w:t>.</w:t>
      </w:r>
    </w:p>
    <w:p w14:paraId="506591CC" w14:textId="6DFBFBF3" w:rsidR="00152688" w:rsidRPr="002E2DF5" w:rsidRDefault="00DF7546" w:rsidP="00345857">
      <w:pPr>
        <w:pStyle w:val="Heading2"/>
        <w:spacing w:before="0"/>
        <w:ind w:firstLine="709"/>
        <w:rPr>
          <w:color w:val="000000" w:themeColor="text1"/>
          <w:lang w:val="vi-VN"/>
        </w:rPr>
      </w:pPr>
      <w:r w:rsidRPr="002E2DF5">
        <w:rPr>
          <w:color w:val="000000" w:themeColor="text1"/>
          <w:lang w:val="vi-VN"/>
        </w:rPr>
        <w:t>5</w:t>
      </w:r>
      <w:r w:rsidR="00152688" w:rsidRPr="002E2DF5">
        <w:rPr>
          <w:color w:val="000000" w:themeColor="text1"/>
          <w:lang w:val="vi-VN"/>
        </w:rPr>
        <w:t xml:space="preserve">. Thay thế cụm từ tại một số </w:t>
      </w:r>
      <w:r w:rsidR="00E56488">
        <w:rPr>
          <w:color w:val="000000" w:themeColor="text1"/>
        </w:rPr>
        <w:t>Điều</w:t>
      </w:r>
      <w:r w:rsidR="00152688" w:rsidRPr="002E2DF5">
        <w:rPr>
          <w:color w:val="000000" w:themeColor="text1"/>
          <w:lang w:val="vi-VN"/>
        </w:rPr>
        <w:t>, khoản sau đây:</w:t>
      </w:r>
    </w:p>
    <w:p w14:paraId="4C86CAAF" w14:textId="0E966234" w:rsidR="0005264F" w:rsidRPr="002E2DF5" w:rsidRDefault="006C2037" w:rsidP="00345857">
      <w:pPr>
        <w:spacing w:after="120"/>
        <w:ind w:firstLine="709"/>
        <w:jc w:val="both"/>
        <w:rPr>
          <w:color w:val="000000" w:themeColor="text1"/>
          <w:lang w:val="vi-VN"/>
        </w:rPr>
      </w:pPr>
      <w:r>
        <w:rPr>
          <w:color w:val="000000" w:themeColor="text1"/>
        </w:rPr>
        <w:t>a</w:t>
      </w:r>
      <w:r w:rsidR="00152688" w:rsidRPr="002E2DF5">
        <w:rPr>
          <w:color w:val="000000" w:themeColor="text1"/>
          <w:lang w:val="vi-VN"/>
        </w:rPr>
        <w:t>) Thay cụm từ “chỉ đạo tuyến” bằng cụm từ “chỉ đạo chuyên môn kỹ thuật” tại khoản 7 Điều 27</w:t>
      </w:r>
      <w:r w:rsidR="006E2D44" w:rsidRPr="002E2DF5">
        <w:rPr>
          <w:color w:val="000000" w:themeColor="text1"/>
          <w:lang w:val="vi-VN"/>
        </w:rPr>
        <w:t>;</w:t>
      </w:r>
    </w:p>
    <w:p w14:paraId="4849E22D" w14:textId="16E3FD59" w:rsidR="003B05FD" w:rsidRPr="002E2DF5" w:rsidRDefault="006C2037" w:rsidP="00345857">
      <w:pPr>
        <w:spacing w:after="120"/>
        <w:ind w:firstLine="709"/>
        <w:jc w:val="both"/>
        <w:rPr>
          <w:color w:val="000000" w:themeColor="text1"/>
          <w:lang w:val="vi-VN"/>
        </w:rPr>
      </w:pPr>
      <w:r>
        <w:rPr>
          <w:color w:val="000000" w:themeColor="text1"/>
        </w:rPr>
        <w:t>b</w:t>
      </w:r>
      <w:r w:rsidR="003B05FD" w:rsidRPr="002E2DF5">
        <w:rPr>
          <w:color w:val="000000" w:themeColor="text1"/>
          <w:lang w:val="vi-VN"/>
        </w:rPr>
        <w:t>) Thay cụm từ “cùng hạng, cùng tuyến” bằng cụm từ “cùng cấp chuyên môn kỹ thuật”</w:t>
      </w:r>
      <w:r w:rsidR="00420E56" w:rsidRPr="002E2DF5">
        <w:rPr>
          <w:color w:val="000000" w:themeColor="text1"/>
          <w:lang w:val="vi-VN"/>
        </w:rPr>
        <w:t xml:space="preserve"> tại </w:t>
      </w:r>
      <w:r w:rsidR="00514E22" w:rsidRPr="002E2DF5">
        <w:rPr>
          <w:color w:val="000000" w:themeColor="text1"/>
          <w:lang w:val="vi-VN"/>
        </w:rPr>
        <w:t>điểm b khoản 1 Điều 21, điểm d khoản 5 Điều 42</w:t>
      </w:r>
      <w:r w:rsidR="009E7CE6" w:rsidRPr="002E2DF5">
        <w:rPr>
          <w:color w:val="000000" w:themeColor="text1"/>
          <w:lang w:val="vi-VN"/>
        </w:rPr>
        <w:t>;</w:t>
      </w:r>
    </w:p>
    <w:p w14:paraId="3AAC7ABE" w14:textId="6225D9D0" w:rsidR="004C3604" w:rsidRPr="002E2DF5" w:rsidRDefault="006C2037" w:rsidP="00345857">
      <w:pPr>
        <w:spacing w:after="120"/>
        <w:ind w:firstLine="709"/>
        <w:jc w:val="both"/>
        <w:rPr>
          <w:color w:val="000000" w:themeColor="text1"/>
          <w:lang w:val="vi-VN"/>
        </w:rPr>
      </w:pPr>
      <w:r>
        <w:rPr>
          <w:color w:val="000000" w:themeColor="text1"/>
        </w:rPr>
        <w:t>c</w:t>
      </w:r>
      <w:r w:rsidR="00A168D5" w:rsidRPr="002E2DF5">
        <w:rPr>
          <w:color w:val="000000" w:themeColor="text1"/>
          <w:lang w:val="vi-VN"/>
        </w:rPr>
        <w:t>) Thay cụm từ “tuyến huyện và tư</w:t>
      </w:r>
      <w:r w:rsidR="005C2860" w:rsidRPr="002E2DF5">
        <w:rPr>
          <w:color w:val="000000" w:themeColor="text1"/>
          <w:lang w:val="vi-VN"/>
        </w:rPr>
        <w:t>ơ</w:t>
      </w:r>
      <w:r w:rsidR="00A168D5" w:rsidRPr="002E2DF5">
        <w:rPr>
          <w:color w:val="000000" w:themeColor="text1"/>
          <w:lang w:val="vi-VN"/>
        </w:rPr>
        <w:t>ng đương” bằng cụm từ “</w:t>
      </w:r>
      <w:r w:rsidR="00A168D5" w:rsidRPr="002E2DF5">
        <w:rPr>
          <w:color w:val="000000" w:themeColor="text1"/>
          <w:szCs w:val="28"/>
          <w:lang w:val="vi-VN"/>
        </w:rPr>
        <w:t>cấp ban đầu</w:t>
      </w:r>
      <w:r w:rsidR="00A168D5" w:rsidRPr="002E2DF5">
        <w:rPr>
          <w:color w:val="000000" w:themeColor="text1"/>
          <w:lang w:val="vi-VN"/>
        </w:rPr>
        <w:t>”</w:t>
      </w:r>
      <w:r w:rsidR="005C2860" w:rsidRPr="002E2DF5">
        <w:rPr>
          <w:color w:val="000000" w:themeColor="text1"/>
          <w:lang w:val="vi-VN"/>
        </w:rPr>
        <w:t>; “tuyến tỉnh và tương đương” bằng cụm từ “cấp cơ bản”; “tuyến trung ương và tương đương” bằng cụm từ “cấp chuyên sâu” tại Điều 30;</w:t>
      </w:r>
    </w:p>
    <w:p w14:paraId="74257CF9" w14:textId="5EF15AB4" w:rsidR="006C2037" w:rsidRDefault="006C2037" w:rsidP="006C2037">
      <w:pPr>
        <w:spacing w:after="120"/>
        <w:ind w:firstLine="709"/>
        <w:jc w:val="both"/>
        <w:rPr>
          <w:color w:val="000000" w:themeColor="text1"/>
        </w:rPr>
      </w:pPr>
      <w:r>
        <w:rPr>
          <w:color w:val="000000" w:themeColor="text1"/>
        </w:rPr>
        <w:t>d</w:t>
      </w:r>
      <w:r w:rsidR="000C73DE" w:rsidRPr="002E2DF5">
        <w:rPr>
          <w:color w:val="000000" w:themeColor="text1"/>
          <w:lang w:val="vi-VN"/>
        </w:rPr>
        <w:t>) Thay cụm từ “tuyến dưới</w:t>
      </w:r>
      <w:r w:rsidR="004A4E7F" w:rsidRPr="004A4E7F">
        <w:rPr>
          <w:color w:val="000000" w:themeColor="text1"/>
          <w:lang w:val="vi-VN"/>
        </w:rPr>
        <w:t>”</w:t>
      </w:r>
      <w:r w:rsidR="000C73DE" w:rsidRPr="002E2DF5">
        <w:rPr>
          <w:color w:val="000000" w:themeColor="text1"/>
          <w:lang w:val="vi-VN"/>
        </w:rPr>
        <w:t xml:space="preserve"> bằng cụm từ </w:t>
      </w:r>
      <w:r w:rsidR="004A4E7F" w:rsidRPr="004A4E7F">
        <w:rPr>
          <w:color w:val="000000" w:themeColor="text1"/>
          <w:lang w:val="vi-VN"/>
        </w:rPr>
        <w:t>“</w:t>
      </w:r>
      <w:r w:rsidR="000C73DE" w:rsidRPr="002E2DF5">
        <w:rPr>
          <w:color w:val="000000" w:themeColor="text1"/>
          <w:lang w:val="vi-VN"/>
        </w:rPr>
        <w:t xml:space="preserve">cơ sở khám bệnh, chữa bệnh” </w:t>
      </w:r>
      <w:r w:rsidR="00964F71">
        <w:rPr>
          <w:color w:val="000000" w:themeColor="text1"/>
        </w:rPr>
        <w:t xml:space="preserve">tại </w:t>
      </w:r>
      <w:r w:rsidR="000C73DE" w:rsidRPr="002E2DF5">
        <w:rPr>
          <w:color w:val="000000" w:themeColor="text1"/>
          <w:lang w:val="vi-VN"/>
        </w:rPr>
        <w:t>Phụ lục số 7</w:t>
      </w:r>
      <w:r w:rsidR="004D4BAA" w:rsidRPr="002E2DF5">
        <w:rPr>
          <w:color w:val="000000" w:themeColor="text1"/>
          <w:lang w:val="vi-VN"/>
        </w:rPr>
        <w:t xml:space="preserve"> </w:t>
      </w:r>
      <w:r w:rsidR="00964F71">
        <w:rPr>
          <w:color w:val="000000"/>
          <w:szCs w:val="28"/>
          <w:lang w:val="vi-VN" w:eastAsia="vi-VN"/>
        </w:rPr>
        <w:t>Hợp đồng khám bệnh, chữa bệnh bảo hiểm y tế</w:t>
      </w:r>
      <w:r w:rsidR="00964F71" w:rsidRPr="002E2DF5">
        <w:rPr>
          <w:color w:val="000000" w:themeColor="text1"/>
          <w:lang w:val="vi-VN"/>
        </w:rPr>
        <w:t xml:space="preserve"> </w:t>
      </w:r>
      <w:r w:rsidR="00260BA1" w:rsidRPr="002E2DF5">
        <w:rPr>
          <w:color w:val="000000" w:themeColor="text1"/>
          <w:lang w:val="vi-VN"/>
        </w:rPr>
        <w:t>ban hành kèm theo Nghị định số 146/2018/NĐ-CP ngày 18 tháng 10 năm 2018 và Nghị định số 75/2023/NĐ-CP ngày 19</w:t>
      </w:r>
      <w:r w:rsidR="009F5DDC" w:rsidRPr="009F5DDC">
        <w:rPr>
          <w:color w:val="000000" w:themeColor="text1"/>
          <w:lang w:val="vi-VN"/>
        </w:rPr>
        <w:t xml:space="preserve"> tháng </w:t>
      </w:r>
      <w:r w:rsidR="00260BA1" w:rsidRPr="002E2DF5">
        <w:rPr>
          <w:color w:val="000000" w:themeColor="text1"/>
          <w:lang w:val="vi-VN"/>
        </w:rPr>
        <w:t>10</w:t>
      </w:r>
      <w:r w:rsidR="009F5DDC" w:rsidRPr="009F5DDC">
        <w:rPr>
          <w:color w:val="000000" w:themeColor="text1"/>
          <w:lang w:val="vi-VN"/>
        </w:rPr>
        <w:t xml:space="preserve"> năm </w:t>
      </w:r>
      <w:r w:rsidR="00260BA1" w:rsidRPr="002E2DF5">
        <w:rPr>
          <w:color w:val="000000" w:themeColor="text1"/>
          <w:lang w:val="vi-VN"/>
        </w:rPr>
        <w:t>2023 sửa đổi, bổ sung một số điều nghị định số 146/2018/NĐ-CP ngày 18 tháng 10 năm 2018 quy định chi tiết và hướng dẫn biện pháp thi hành luật bảo hiểm y tế</w:t>
      </w:r>
      <w:r w:rsidR="00237E5E" w:rsidRPr="002E2DF5">
        <w:rPr>
          <w:color w:val="000000" w:themeColor="text1"/>
          <w:lang w:val="vi-VN"/>
        </w:rPr>
        <w:t>.</w:t>
      </w:r>
    </w:p>
    <w:p w14:paraId="13134078" w14:textId="77777777" w:rsidR="003D51FC" w:rsidRDefault="00CD5A44" w:rsidP="003D51FC">
      <w:pPr>
        <w:spacing w:after="120"/>
        <w:ind w:firstLine="709"/>
        <w:jc w:val="both"/>
        <w:rPr>
          <w:bCs/>
          <w:color w:val="000000" w:themeColor="text1"/>
        </w:rPr>
      </w:pPr>
      <w:r w:rsidRPr="006C2037">
        <w:rPr>
          <w:b/>
          <w:bCs/>
          <w:color w:val="000000" w:themeColor="text1"/>
          <w:lang w:val="vi-VN"/>
        </w:rPr>
        <w:t xml:space="preserve">Điều </w:t>
      </w:r>
      <w:r w:rsidR="005D646E" w:rsidRPr="006C2037">
        <w:rPr>
          <w:b/>
          <w:bCs/>
          <w:color w:val="000000" w:themeColor="text1"/>
          <w:lang w:val="vi-VN"/>
        </w:rPr>
        <w:t>2</w:t>
      </w:r>
      <w:r w:rsidRPr="006C2037">
        <w:rPr>
          <w:b/>
          <w:bCs/>
          <w:color w:val="000000" w:themeColor="text1"/>
          <w:lang w:val="vi-VN"/>
        </w:rPr>
        <w:t>.</w:t>
      </w:r>
      <w:r w:rsidRPr="002E2DF5">
        <w:rPr>
          <w:bCs/>
          <w:color w:val="000000" w:themeColor="text1"/>
          <w:lang w:val="vi-VN"/>
        </w:rPr>
        <w:t xml:space="preserve"> Bãi bỏ </w:t>
      </w:r>
      <w:r w:rsidR="00865BB2" w:rsidRPr="00865BB2">
        <w:rPr>
          <w:bCs/>
          <w:color w:val="000000" w:themeColor="text1"/>
          <w:lang w:val="vi-VN"/>
        </w:rPr>
        <w:t>M</w:t>
      </w:r>
      <w:r w:rsidR="00572B2B" w:rsidRPr="002E2DF5">
        <w:rPr>
          <w:bCs/>
          <w:color w:val="000000" w:themeColor="text1"/>
          <w:lang w:val="vi-VN"/>
        </w:rPr>
        <w:t>ẫu số 05</w:t>
      </w:r>
      <w:r w:rsidR="007F0F76" w:rsidRPr="007F0F76">
        <w:rPr>
          <w:bCs/>
          <w:color w:val="000000" w:themeColor="text1"/>
          <w:lang w:val="vi-VN"/>
        </w:rPr>
        <w:t xml:space="preserve"> Giấy hẹn khám lại</w:t>
      </w:r>
      <w:r w:rsidR="00084573" w:rsidRPr="002E2DF5">
        <w:rPr>
          <w:bCs/>
          <w:color w:val="000000" w:themeColor="text1"/>
          <w:lang w:val="vi-VN"/>
        </w:rPr>
        <w:t xml:space="preserve"> và </w:t>
      </w:r>
      <w:r w:rsidR="007A519C" w:rsidRPr="007A519C">
        <w:rPr>
          <w:bCs/>
          <w:color w:val="000000" w:themeColor="text1"/>
          <w:lang w:val="vi-VN"/>
        </w:rPr>
        <w:t>M</w:t>
      </w:r>
      <w:r w:rsidR="00084573" w:rsidRPr="002E2DF5">
        <w:rPr>
          <w:bCs/>
          <w:color w:val="000000" w:themeColor="text1"/>
          <w:lang w:val="vi-VN"/>
        </w:rPr>
        <w:t>ẫu số 06</w:t>
      </w:r>
      <w:r w:rsidR="00572B2B" w:rsidRPr="002E2DF5">
        <w:rPr>
          <w:bCs/>
          <w:color w:val="000000" w:themeColor="text1"/>
          <w:lang w:val="vi-VN"/>
        </w:rPr>
        <w:t xml:space="preserve"> </w:t>
      </w:r>
      <w:r w:rsidR="007F0F76" w:rsidRPr="007F0F76">
        <w:rPr>
          <w:bCs/>
          <w:color w:val="000000" w:themeColor="text1"/>
          <w:lang w:val="vi-VN"/>
        </w:rPr>
        <w:t>Giấy chuyển tuyến khám bệnh, chữa bệnh bảo hiểm y tế</w:t>
      </w:r>
      <w:r w:rsidR="007F0F76" w:rsidRPr="002E2DF5">
        <w:rPr>
          <w:bCs/>
          <w:color w:val="000000" w:themeColor="text1"/>
          <w:lang w:val="vi-VN"/>
        </w:rPr>
        <w:t xml:space="preserve"> </w:t>
      </w:r>
      <w:r w:rsidRPr="002E2DF5">
        <w:rPr>
          <w:bCs/>
          <w:color w:val="000000" w:themeColor="text1"/>
          <w:lang w:val="vi-VN"/>
        </w:rPr>
        <w:t xml:space="preserve">của </w:t>
      </w:r>
      <w:r w:rsidR="00865BB2" w:rsidRPr="00865BB2">
        <w:rPr>
          <w:bCs/>
          <w:color w:val="000000" w:themeColor="text1"/>
          <w:lang w:val="vi-VN"/>
        </w:rPr>
        <w:t>P</w:t>
      </w:r>
      <w:r w:rsidR="008167CD" w:rsidRPr="002E2DF5">
        <w:rPr>
          <w:bCs/>
          <w:color w:val="000000" w:themeColor="text1"/>
          <w:lang w:val="vi-VN"/>
        </w:rPr>
        <w:t>hụ lục</w:t>
      </w:r>
      <w:r w:rsidR="008167CD" w:rsidRPr="008167CD">
        <w:rPr>
          <w:bCs/>
          <w:color w:val="000000" w:themeColor="text1"/>
          <w:lang w:val="vi-VN"/>
        </w:rPr>
        <w:t xml:space="preserve"> ban hành kèm theo</w:t>
      </w:r>
      <w:r w:rsidR="008167CD" w:rsidRPr="002E2DF5">
        <w:rPr>
          <w:bCs/>
          <w:color w:val="000000" w:themeColor="text1"/>
          <w:lang w:val="vi-VN"/>
        </w:rPr>
        <w:t xml:space="preserve"> </w:t>
      </w:r>
      <w:r w:rsidRPr="002E2DF5">
        <w:rPr>
          <w:bCs/>
          <w:color w:val="000000" w:themeColor="text1"/>
          <w:lang w:val="vi-VN"/>
        </w:rPr>
        <w:t>Nghị định số 146/2018/NĐ-CP ngày 18 tháng 10 năm 2018</w:t>
      </w:r>
      <w:r w:rsidR="00694F3A" w:rsidRPr="002E2DF5">
        <w:rPr>
          <w:bCs/>
          <w:color w:val="000000" w:themeColor="text1"/>
          <w:lang w:val="vi-VN"/>
        </w:rPr>
        <w:t xml:space="preserve"> và Nghị định số 75/2023/NĐ-CP ngày 19</w:t>
      </w:r>
      <w:r w:rsidR="009F5DDC" w:rsidRPr="009F5DDC">
        <w:rPr>
          <w:bCs/>
          <w:color w:val="000000" w:themeColor="text1"/>
          <w:lang w:val="vi-VN"/>
        </w:rPr>
        <w:t xml:space="preserve"> tháng </w:t>
      </w:r>
      <w:r w:rsidR="00694F3A" w:rsidRPr="002E2DF5">
        <w:rPr>
          <w:bCs/>
          <w:color w:val="000000" w:themeColor="text1"/>
          <w:lang w:val="vi-VN"/>
        </w:rPr>
        <w:t>10</w:t>
      </w:r>
      <w:r w:rsidR="009F5DDC" w:rsidRPr="009F5DDC">
        <w:rPr>
          <w:bCs/>
          <w:color w:val="000000" w:themeColor="text1"/>
          <w:lang w:val="vi-VN"/>
        </w:rPr>
        <w:t xml:space="preserve"> năm </w:t>
      </w:r>
      <w:r w:rsidR="00694F3A" w:rsidRPr="002E2DF5">
        <w:rPr>
          <w:bCs/>
          <w:color w:val="000000" w:themeColor="text1"/>
          <w:lang w:val="vi-VN"/>
        </w:rPr>
        <w:t>2023 sửa đổi, bổ sung một số điều nghị định số 146/2018/NĐ-CP ngày 18 tháng 10 năm 2018 quy định chi tiết và hướng dẫn biện pháp thi hành luật bảo hiểm y tế</w:t>
      </w:r>
      <w:r w:rsidR="007F0F76">
        <w:rPr>
          <w:bCs/>
          <w:color w:val="000000" w:themeColor="text1"/>
        </w:rPr>
        <w:t xml:space="preserve"> kể từ ngày Nghị định này có hiệu lực thi hành.</w:t>
      </w:r>
      <w:bookmarkStart w:id="9" w:name="dieu_41"/>
    </w:p>
    <w:p w14:paraId="2684A461" w14:textId="77777777" w:rsidR="003D51FC" w:rsidRDefault="00D53A2D" w:rsidP="003D51FC">
      <w:pPr>
        <w:tabs>
          <w:tab w:val="left" w:pos="4111"/>
        </w:tabs>
        <w:spacing w:after="120"/>
        <w:ind w:firstLine="709"/>
        <w:jc w:val="both"/>
        <w:rPr>
          <w:color w:val="000000" w:themeColor="text1"/>
        </w:rPr>
      </w:pPr>
      <w:r w:rsidRPr="003D51FC">
        <w:rPr>
          <w:b/>
          <w:bCs/>
          <w:color w:val="000000" w:themeColor="text1"/>
          <w:lang w:val="vi-VN"/>
        </w:rPr>
        <w:t xml:space="preserve">Điều </w:t>
      </w:r>
      <w:r w:rsidR="005D646E" w:rsidRPr="003D51FC">
        <w:rPr>
          <w:b/>
          <w:bCs/>
          <w:color w:val="000000" w:themeColor="text1"/>
          <w:lang w:val="vi-VN"/>
        </w:rPr>
        <w:t>3</w:t>
      </w:r>
      <w:r w:rsidR="00052723" w:rsidRPr="003D51FC">
        <w:rPr>
          <w:b/>
          <w:bCs/>
          <w:color w:val="000000" w:themeColor="text1"/>
          <w:lang w:val="vi-VN"/>
        </w:rPr>
        <w:t>.</w:t>
      </w:r>
      <w:r w:rsidRPr="002E2DF5">
        <w:rPr>
          <w:color w:val="000000" w:themeColor="text1"/>
          <w:lang w:val="vi-VN"/>
        </w:rPr>
        <w:t xml:space="preserve"> Hiệu lực thi hành</w:t>
      </w:r>
      <w:bookmarkEnd w:id="9"/>
    </w:p>
    <w:p w14:paraId="5C94E165" w14:textId="5DDD5EE6" w:rsidR="00D53A2D" w:rsidRPr="002E2DF5" w:rsidRDefault="00D53A2D" w:rsidP="003D51FC">
      <w:pPr>
        <w:tabs>
          <w:tab w:val="left" w:pos="4111"/>
        </w:tabs>
        <w:spacing w:after="120"/>
        <w:ind w:firstLine="709"/>
        <w:jc w:val="both"/>
        <w:rPr>
          <w:color w:val="000000" w:themeColor="text1"/>
          <w:lang w:val="vi-VN"/>
        </w:rPr>
      </w:pPr>
      <w:r w:rsidRPr="002E2DF5">
        <w:rPr>
          <w:color w:val="000000" w:themeColor="text1"/>
          <w:lang w:val="vi-VN"/>
        </w:rPr>
        <w:t>Nghị định này có hiệu lực thi hành từ ngày</w:t>
      </w:r>
      <w:r w:rsidR="002E2DF5" w:rsidRPr="002E2DF5">
        <w:rPr>
          <w:color w:val="000000" w:themeColor="text1"/>
          <w:lang w:val="vi-VN"/>
        </w:rPr>
        <w:t xml:space="preserve">   </w:t>
      </w:r>
      <w:r w:rsidR="00964F71">
        <w:rPr>
          <w:color w:val="000000" w:themeColor="text1"/>
        </w:rPr>
        <w:t xml:space="preserve">  </w:t>
      </w:r>
      <w:r w:rsidRPr="002E2DF5">
        <w:rPr>
          <w:color w:val="000000" w:themeColor="text1"/>
          <w:lang w:val="vi-VN"/>
        </w:rPr>
        <w:t xml:space="preserve"> tháng      năm 202</w:t>
      </w:r>
      <w:r w:rsidR="002E2DF5" w:rsidRPr="002E2DF5">
        <w:rPr>
          <w:color w:val="000000" w:themeColor="text1"/>
          <w:lang w:val="vi-VN"/>
        </w:rPr>
        <w:t>5.</w:t>
      </w:r>
    </w:p>
    <w:p w14:paraId="20B3ED0F" w14:textId="73DAAA4D" w:rsidR="00FD294C" w:rsidRPr="002E2DF5" w:rsidRDefault="00896A6B" w:rsidP="00345857">
      <w:pPr>
        <w:pStyle w:val="Heading1"/>
        <w:spacing w:before="0"/>
        <w:ind w:firstLine="709"/>
        <w:rPr>
          <w:color w:val="000000" w:themeColor="text1"/>
          <w:lang w:val="vi-VN"/>
        </w:rPr>
      </w:pPr>
      <w:r w:rsidRPr="002E2DF5">
        <w:rPr>
          <w:color w:val="000000" w:themeColor="text1"/>
          <w:lang w:val="vi-VN"/>
        </w:rPr>
        <w:lastRenderedPageBreak/>
        <w:t xml:space="preserve">Điều </w:t>
      </w:r>
      <w:r w:rsidR="005D646E" w:rsidRPr="002E2DF5">
        <w:rPr>
          <w:color w:val="000000" w:themeColor="text1"/>
          <w:lang w:val="vi-VN"/>
        </w:rPr>
        <w:t>4</w:t>
      </w:r>
      <w:r w:rsidRPr="002E2DF5">
        <w:rPr>
          <w:color w:val="000000" w:themeColor="text1"/>
          <w:lang w:val="vi-VN"/>
        </w:rPr>
        <w:t xml:space="preserve">. </w:t>
      </w:r>
      <w:r w:rsidR="00E06292" w:rsidRPr="002E2DF5">
        <w:rPr>
          <w:color w:val="000000" w:themeColor="text1"/>
          <w:lang w:val="vi-VN"/>
        </w:rPr>
        <w:t>Quy định</w:t>
      </w:r>
      <w:r w:rsidRPr="002E2DF5">
        <w:rPr>
          <w:color w:val="000000" w:themeColor="text1"/>
          <w:lang w:val="vi-VN"/>
        </w:rPr>
        <w:t xml:space="preserve"> chuyển tiếp</w:t>
      </w:r>
    </w:p>
    <w:p w14:paraId="321DD378" w14:textId="11E0D2BA" w:rsidR="00896A6B" w:rsidRDefault="00B046D1" w:rsidP="00345857">
      <w:pPr>
        <w:spacing w:after="120"/>
        <w:ind w:firstLine="709"/>
        <w:jc w:val="both"/>
        <w:rPr>
          <w:color w:val="000000" w:themeColor="text1"/>
        </w:rPr>
      </w:pPr>
      <w:r>
        <w:rPr>
          <w:color w:val="000000" w:themeColor="text1"/>
        </w:rPr>
        <w:t xml:space="preserve">1. </w:t>
      </w:r>
      <w:r w:rsidR="00896A6B" w:rsidRPr="002E2DF5">
        <w:rPr>
          <w:color w:val="000000" w:themeColor="text1"/>
          <w:lang w:val="vi-VN"/>
        </w:rPr>
        <w:t>Người tham gia bảo hiểm y tế vào cơ sở khám bệnh, chữa bệnh để điều trị trước ngày Nghị định này có hiệu lực nhưng ra viện từ ngày Nghị định này có hiệu lực thì được quỹ bảo hiểm y tế thanh toán trong phạm vi được hưởng và mức hưởng theo quy định của </w:t>
      </w:r>
      <w:bookmarkStart w:id="10" w:name="tvpllink_iogwzjxiui_1"/>
      <w:r w:rsidR="00896A6B" w:rsidRPr="002E2DF5">
        <w:rPr>
          <w:color w:val="000000" w:themeColor="text1"/>
          <w:lang w:val="vi-VN"/>
        </w:rPr>
        <w:fldChar w:fldCharType="begin"/>
      </w:r>
      <w:r w:rsidR="00896A6B" w:rsidRPr="002E2DF5">
        <w:rPr>
          <w:color w:val="000000" w:themeColor="text1"/>
          <w:lang w:val="vi-VN"/>
        </w:rPr>
        <w:instrText>HYPERLINK "https://thuvienphapluat.vn/van-ban/Bao-hiem/Luat-bao-hiem-y-te-2008-25-2008-QH12-82196.aspx" \t "_blank"</w:instrText>
      </w:r>
      <w:r w:rsidR="00896A6B" w:rsidRPr="002E2DF5">
        <w:rPr>
          <w:color w:val="000000" w:themeColor="text1"/>
          <w:lang w:val="vi-VN"/>
        </w:rPr>
      </w:r>
      <w:r w:rsidR="00896A6B" w:rsidRPr="002E2DF5">
        <w:rPr>
          <w:color w:val="000000" w:themeColor="text1"/>
          <w:lang w:val="vi-VN"/>
        </w:rPr>
        <w:fldChar w:fldCharType="separate"/>
      </w:r>
      <w:r w:rsidR="00896A6B" w:rsidRPr="002E2DF5">
        <w:rPr>
          <w:color w:val="000000" w:themeColor="text1"/>
          <w:lang w:val="vi-VN"/>
        </w:rPr>
        <w:t>Luật Bảo hiểm y tế</w:t>
      </w:r>
      <w:r w:rsidR="00896A6B" w:rsidRPr="002E2DF5">
        <w:rPr>
          <w:color w:val="000000" w:themeColor="text1"/>
          <w:lang w:val="vi-VN"/>
        </w:rPr>
        <w:fldChar w:fldCharType="end"/>
      </w:r>
      <w:bookmarkEnd w:id="10"/>
      <w:r w:rsidR="00896A6B" w:rsidRPr="002E2DF5">
        <w:rPr>
          <w:color w:val="000000" w:themeColor="text1"/>
          <w:lang w:val="vi-VN"/>
        </w:rPr>
        <w:t xml:space="preserve"> và quy định tại </w:t>
      </w:r>
      <w:bookmarkStart w:id="11" w:name="tc_5"/>
      <w:r w:rsidR="00896A6B" w:rsidRPr="002E2DF5">
        <w:rPr>
          <w:color w:val="000000" w:themeColor="text1"/>
          <w:lang w:val="vi-VN"/>
        </w:rPr>
        <w:t xml:space="preserve">khoản </w:t>
      </w:r>
      <w:r w:rsidR="004B2304" w:rsidRPr="002E2DF5">
        <w:rPr>
          <w:color w:val="000000" w:themeColor="text1"/>
          <w:lang w:val="vi-VN"/>
        </w:rPr>
        <w:t>1</w:t>
      </w:r>
      <w:r w:rsidR="00896A6B" w:rsidRPr="002E2DF5">
        <w:rPr>
          <w:color w:val="000000" w:themeColor="text1"/>
          <w:lang w:val="vi-VN"/>
        </w:rPr>
        <w:t xml:space="preserve"> Điều 1 Nghị định này</w:t>
      </w:r>
      <w:bookmarkEnd w:id="11"/>
      <w:r w:rsidR="00896A6B" w:rsidRPr="002E2DF5">
        <w:rPr>
          <w:color w:val="000000" w:themeColor="text1"/>
          <w:lang w:val="vi-VN"/>
        </w:rPr>
        <w:t>.</w:t>
      </w:r>
    </w:p>
    <w:p w14:paraId="0C033B96" w14:textId="59A2FF0B" w:rsidR="00B046D1" w:rsidRPr="006A796E" w:rsidRDefault="00B046D1" w:rsidP="00B046D1">
      <w:pPr>
        <w:pStyle w:val="Normal1"/>
        <w:spacing w:before="120" w:after="120" w:line="240" w:lineRule="auto"/>
        <w:ind w:firstLine="720"/>
        <w:jc w:val="both"/>
        <w:rPr>
          <w:rFonts w:ascii="Times New Roman" w:eastAsiaTheme="minorHAnsi" w:hAnsi="Times New Roman" w:cstheme="minorBidi"/>
          <w:color w:val="000000" w:themeColor="text1"/>
          <w:sz w:val="28"/>
          <w:szCs w:val="24"/>
        </w:rPr>
      </w:pPr>
      <w:r w:rsidRPr="006A796E">
        <w:rPr>
          <w:rFonts w:ascii="Times New Roman" w:eastAsiaTheme="minorHAnsi" w:hAnsi="Times New Roman" w:cstheme="minorBidi"/>
          <w:color w:val="000000" w:themeColor="text1"/>
          <w:sz w:val="28"/>
          <w:szCs w:val="24"/>
          <w:lang w:val="vi-VN"/>
        </w:rPr>
        <w:t>2. Giấy hẹn khám lại, Giấy chuyển tuyến khám bệnh, chữa bệnh bảo hiểm y tế được</w:t>
      </w:r>
      <w:r w:rsidR="006A796E">
        <w:rPr>
          <w:rFonts w:ascii="Times New Roman" w:eastAsiaTheme="minorHAnsi" w:hAnsi="Times New Roman" w:cstheme="minorBidi"/>
          <w:color w:val="000000" w:themeColor="text1"/>
          <w:sz w:val="28"/>
          <w:szCs w:val="24"/>
        </w:rPr>
        <w:t xml:space="preserve"> cấp</w:t>
      </w:r>
      <w:r w:rsidRPr="006A796E">
        <w:rPr>
          <w:rFonts w:ascii="Times New Roman" w:eastAsiaTheme="minorHAnsi" w:hAnsi="Times New Roman" w:cstheme="minorBidi"/>
          <w:color w:val="000000" w:themeColor="text1"/>
          <w:sz w:val="28"/>
          <w:szCs w:val="24"/>
          <w:lang w:val="vi-VN"/>
        </w:rPr>
        <w:t xml:space="preserve"> trước ngày 01 tháng 01 năm 2025 mà còn hiệu lực sau ngày 01 tháng 01 năm 2025 được tiếp tục sử dụng cho đến khi </w:t>
      </w:r>
      <w:r w:rsidR="006A796E">
        <w:rPr>
          <w:rFonts w:ascii="Times New Roman" w:eastAsiaTheme="minorHAnsi" w:hAnsi="Times New Roman" w:cstheme="minorBidi"/>
          <w:color w:val="000000" w:themeColor="text1"/>
          <w:sz w:val="28"/>
          <w:szCs w:val="24"/>
        </w:rPr>
        <w:t xml:space="preserve">các loại giấy này </w:t>
      </w:r>
      <w:r w:rsidRPr="006A796E">
        <w:rPr>
          <w:rFonts w:ascii="Times New Roman" w:eastAsiaTheme="minorHAnsi" w:hAnsi="Times New Roman" w:cstheme="minorBidi"/>
          <w:color w:val="000000" w:themeColor="text1"/>
          <w:sz w:val="28"/>
          <w:szCs w:val="24"/>
          <w:lang w:val="vi-VN"/>
        </w:rPr>
        <w:t>hết</w:t>
      </w:r>
      <w:r w:rsidR="006A796E" w:rsidRPr="006A796E">
        <w:rPr>
          <w:rFonts w:ascii="Times New Roman" w:eastAsiaTheme="minorHAnsi" w:hAnsi="Times New Roman" w:cstheme="minorBidi"/>
          <w:color w:val="000000" w:themeColor="text1"/>
          <w:sz w:val="28"/>
          <w:szCs w:val="24"/>
          <w:lang w:val="vi-VN"/>
        </w:rPr>
        <w:t xml:space="preserve"> giá trị sử dụng</w:t>
      </w:r>
      <w:bookmarkStart w:id="12" w:name="_Hlk181718757"/>
      <w:r w:rsidR="006A796E">
        <w:rPr>
          <w:rFonts w:ascii="Times New Roman" w:eastAsiaTheme="minorHAnsi" w:hAnsi="Times New Roman" w:cstheme="minorBidi"/>
          <w:color w:val="000000" w:themeColor="text1"/>
          <w:sz w:val="28"/>
          <w:szCs w:val="24"/>
        </w:rPr>
        <w:t>.</w:t>
      </w:r>
    </w:p>
    <w:bookmarkEnd w:id="12"/>
    <w:p w14:paraId="5C23249F" w14:textId="4C91D304" w:rsidR="00D53A2D" w:rsidRPr="002E2DF5" w:rsidRDefault="00D53A2D" w:rsidP="00345857">
      <w:pPr>
        <w:pStyle w:val="Heading1"/>
        <w:spacing w:before="0"/>
        <w:ind w:firstLine="709"/>
        <w:rPr>
          <w:color w:val="000000" w:themeColor="text1"/>
          <w:lang w:val="vi-VN"/>
        </w:rPr>
      </w:pPr>
      <w:r w:rsidRPr="002E2DF5">
        <w:rPr>
          <w:color w:val="000000" w:themeColor="text1"/>
          <w:lang w:val="vi-VN"/>
        </w:rPr>
        <w:t xml:space="preserve">Điều </w:t>
      </w:r>
      <w:r w:rsidR="00324F41" w:rsidRPr="002E2DF5">
        <w:rPr>
          <w:color w:val="000000" w:themeColor="text1"/>
          <w:lang w:val="vi-VN"/>
        </w:rPr>
        <w:t>5</w:t>
      </w:r>
      <w:r w:rsidR="00052723" w:rsidRPr="002E2DF5">
        <w:rPr>
          <w:color w:val="000000" w:themeColor="text1"/>
          <w:lang w:val="vi-VN"/>
        </w:rPr>
        <w:t>.</w:t>
      </w:r>
      <w:r w:rsidRPr="002E2DF5">
        <w:rPr>
          <w:color w:val="000000" w:themeColor="text1"/>
          <w:lang w:val="vi-VN"/>
        </w:rPr>
        <w:t xml:space="preserve"> Trách nhiệm thi hành</w:t>
      </w:r>
    </w:p>
    <w:p w14:paraId="4B40D741" w14:textId="77777777" w:rsidR="00D53A2D" w:rsidRPr="003660D2" w:rsidRDefault="00D53A2D" w:rsidP="00345857">
      <w:pPr>
        <w:spacing w:after="120"/>
        <w:ind w:firstLine="709"/>
        <w:jc w:val="both"/>
        <w:rPr>
          <w:rFonts w:cs="Times New Roman"/>
          <w:bCs/>
          <w:color w:val="000000" w:themeColor="text1"/>
          <w:kern w:val="28"/>
          <w:szCs w:val="28"/>
          <w:lang w:val="pt-BR"/>
        </w:rPr>
      </w:pPr>
      <w:r w:rsidRPr="002E2DF5">
        <w:rPr>
          <w:rFonts w:cs="Times New Roman"/>
          <w:bCs/>
          <w:color w:val="000000" w:themeColor="text1"/>
          <w:kern w:val="28"/>
          <w:szCs w:val="28"/>
          <w:lang w:val="pt-B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4185DD7C" w14:textId="77777777" w:rsidR="00D53A2D" w:rsidRPr="005A5739" w:rsidRDefault="00D53A2D" w:rsidP="00D53A2D">
      <w:pPr>
        <w:spacing w:before="120" w:after="120"/>
        <w:ind w:firstLine="709"/>
        <w:jc w:val="both"/>
        <w:rPr>
          <w:rFonts w:cs="Times New Roman"/>
          <w:bCs/>
          <w:kern w:val="28"/>
          <w:szCs w:val="28"/>
          <w:lang w:val="pt-BR"/>
        </w:rPr>
      </w:pPr>
    </w:p>
    <w:tbl>
      <w:tblPr>
        <w:tblW w:w="12657" w:type="dxa"/>
        <w:tblLayout w:type="fixed"/>
        <w:tblLook w:val="01E0" w:firstRow="1" w:lastRow="1" w:firstColumn="1" w:lastColumn="1" w:noHBand="0" w:noVBand="0"/>
      </w:tblPr>
      <w:tblGrid>
        <w:gridCol w:w="5637"/>
        <w:gridCol w:w="3510"/>
        <w:gridCol w:w="3510"/>
      </w:tblGrid>
      <w:tr w:rsidR="005A5739" w:rsidRPr="005A5739" w14:paraId="6120D940" w14:textId="3A161A63" w:rsidTr="00D53A2D">
        <w:trPr>
          <w:trHeight w:val="662"/>
        </w:trPr>
        <w:tc>
          <w:tcPr>
            <w:tcW w:w="5637" w:type="dxa"/>
            <w:vMerge w:val="restart"/>
          </w:tcPr>
          <w:p w14:paraId="34720DC6" w14:textId="77777777" w:rsidR="00D53A2D" w:rsidRPr="005A5739" w:rsidRDefault="00D53A2D" w:rsidP="00672D7A">
            <w:pPr>
              <w:shd w:val="clear" w:color="auto" w:fill="FFFFFF"/>
              <w:ind w:left="-68"/>
              <w:rPr>
                <w:rFonts w:cs="Times New Roman"/>
                <w:szCs w:val="28"/>
                <w:lang w:val="pt-BR"/>
              </w:rPr>
            </w:pPr>
            <w:r w:rsidRPr="005A5739">
              <w:rPr>
                <w:rFonts w:cs="Times New Roman"/>
                <w:b/>
                <w:i/>
                <w:szCs w:val="28"/>
                <w:lang w:val="pt-BR"/>
              </w:rPr>
              <w:t>Nơi nhận:</w:t>
            </w:r>
          </w:p>
          <w:p w14:paraId="16873A33"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Ban Bí thư Trung ương Đảng;</w:t>
            </w:r>
          </w:p>
          <w:p w14:paraId="5CD08520"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Thủ tướng, các Phó Thủ tướng Chính phủ;</w:t>
            </w:r>
          </w:p>
          <w:p w14:paraId="46900B38"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Các Bộ, cơ quan ngang bộ, cơ quan thuộc Chính phủ;</w:t>
            </w:r>
          </w:p>
          <w:p w14:paraId="1F0B4115"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HĐND, UBND các tỉnh, thành phố trực thuộc trung ương;</w:t>
            </w:r>
          </w:p>
          <w:p w14:paraId="0DCC7F06"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Văn phòng Trung ương và các Ban của Đảng;</w:t>
            </w:r>
          </w:p>
          <w:p w14:paraId="7931CC16"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Văn phòng Tổng Bí thư;</w:t>
            </w:r>
          </w:p>
          <w:p w14:paraId="066F7011"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Văn phòng Chủ tịch nước;</w:t>
            </w:r>
          </w:p>
          <w:p w14:paraId="7C2AEA41"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Hội đồng Dân tộc và các Ủy ban của Quốc hội;</w:t>
            </w:r>
          </w:p>
          <w:p w14:paraId="1569B4A7"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Văn phòng Quốc hội;</w:t>
            </w:r>
          </w:p>
          <w:p w14:paraId="13443A05"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Toà án nhân dân tối cao;</w:t>
            </w:r>
          </w:p>
          <w:p w14:paraId="3B729301"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Viện Kiểm sát nhân dân tối cao;</w:t>
            </w:r>
          </w:p>
          <w:p w14:paraId="357E6841"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Ủy ban Giám sát tài chính Quốc gia;</w:t>
            </w:r>
          </w:p>
          <w:p w14:paraId="4D7245C0"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Kiểm toán nhà nước;</w:t>
            </w:r>
          </w:p>
          <w:p w14:paraId="33EAC32C"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Ủy ban Trung ương Mặt trận Tổ quốc Việt Nam;</w:t>
            </w:r>
          </w:p>
          <w:p w14:paraId="504E4274"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Cơ quan trung ương của các đoàn thể;</w:t>
            </w:r>
          </w:p>
          <w:p w14:paraId="65584351" w14:textId="77777777" w:rsidR="00D53A2D" w:rsidRPr="005A5739" w:rsidRDefault="00D53A2D" w:rsidP="00672D7A">
            <w:pPr>
              <w:shd w:val="clear" w:color="auto" w:fill="FFFFFF"/>
              <w:ind w:left="-68"/>
              <w:rPr>
                <w:rFonts w:cs="Times New Roman"/>
                <w:sz w:val="22"/>
                <w:szCs w:val="28"/>
                <w:shd w:val="clear" w:color="auto" w:fill="FFFFFF"/>
                <w:lang w:val="pt-BR"/>
              </w:rPr>
            </w:pPr>
            <w:r w:rsidRPr="005A5739">
              <w:rPr>
                <w:rFonts w:cs="Times New Roman"/>
                <w:sz w:val="22"/>
                <w:szCs w:val="28"/>
                <w:shd w:val="clear" w:color="auto" w:fill="FFFFFF"/>
                <w:lang w:val="pt-BR"/>
              </w:rPr>
              <w:t>- VPCP: BTCN, các PCN, Trợ lý TTg, TGĐ Cổng TTĐT,</w:t>
            </w:r>
          </w:p>
          <w:p w14:paraId="061B58D7" w14:textId="77777777" w:rsidR="00D53A2D" w:rsidRPr="005A5739" w:rsidRDefault="00D53A2D" w:rsidP="00672D7A">
            <w:pPr>
              <w:shd w:val="clear" w:color="auto" w:fill="FFFFFF"/>
              <w:ind w:left="-68" w:right="-108"/>
              <w:rPr>
                <w:rFonts w:cs="Times New Roman"/>
                <w:sz w:val="22"/>
                <w:szCs w:val="28"/>
                <w:shd w:val="clear" w:color="auto" w:fill="FFFFFF"/>
                <w:lang w:val="pt-BR"/>
              </w:rPr>
            </w:pPr>
            <w:r w:rsidRPr="005A5739">
              <w:rPr>
                <w:rFonts w:cs="Times New Roman"/>
                <w:sz w:val="22"/>
                <w:szCs w:val="28"/>
                <w:shd w:val="clear" w:color="auto" w:fill="FFFFFF"/>
                <w:lang w:val="pt-BR"/>
              </w:rPr>
              <w:t xml:space="preserve">  các Vụ, Cục, đơn vị trực thuộc, Công báo;</w:t>
            </w:r>
          </w:p>
          <w:p w14:paraId="622BDE7C" w14:textId="77777777" w:rsidR="00D53A2D" w:rsidRPr="005A5739" w:rsidRDefault="00D53A2D" w:rsidP="00672D7A">
            <w:pPr>
              <w:shd w:val="clear" w:color="auto" w:fill="FFFFFF"/>
              <w:ind w:left="-68"/>
              <w:rPr>
                <w:rFonts w:cs="Times New Roman"/>
                <w:szCs w:val="28"/>
              </w:rPr>
            </w:pPr>
            <w:r w:rsidRPr="005A5739">
              <w:rPr>
                <w:rFonts w:cs="Times New Roman"/>
                <w:sz w:val="22"/>
                <w:szCs w:val="28"/>
                <w:shd w:val="clear" w:color="auto" w:fill="FFFFFF"/>
              </w:rPr>
              <w:t>- Lưu: VT, KGVX (2b).</w:t>
            </w:r>
          </w:p>
        </w:tc>
        <w:tc>
          <w:tcPr>
            <w:tcW w:w="3510" w:type="dxa"/>
          </w:tcPr>
          <w:p w14:paraId="48032598" w14:textId="77777777" w:rsidR="00D53A2D" w:rsidRPr="005A5739" w:rsidRDefault="00D53A2D" w:rsidP="00E83348">
            <w:pPr>
              <w:shd w:val="clear" w:color="auto" w:fill="FFFFFF"/>
              <w:ind w:left="-108"/>
              <w:jc w:val="center"/>
              <w:rPr>
                <w:rFonts w:cs="Times New Roman"/>
                <w:b/>
                <w:szCs w:val="28"/>
              </w:rPr>
            </w:pPr>
            <w:r w:rsidRPr="005A5739">
              <w:rPr>
                <w:rFonts w:cs="Times New Roman"/>
                <w:b/>
                <w:szCs w:val="28"/>
              </w:rPr>
              <w:t>TM. CHÍNH PHỦ</w:t>
            </w:r>
          </w:p>
          <w:p w14:paraId="0106F58E" w14:textId="77777777" w:rsidR="00D53A2D" w:rsidRPr="005A5739" w:rsidRDefault="00D53A2D" w:rsidP="00E83348">
            <w:pPr>
              <w:shd w:val="clear" w:color="auto" w:fill="FFFFFF"/>
              <w:ind w:left="-108"/>
              <w:jc w:val="center"/>
              <w:rPr>
                <w:rFonts w:cs="Times New Roman"/>
                <w:b/>
                <w:szCs w:val="28"/>
              </w:rPr>
            </w:pPr>
          </w:p>
          <w:p w14:paraId="3DE9C485" w14:textId="77777777" w:rsidR="00270363" w:rsidRPr="005A5739" w:rsidRDefault="00270363" w:rsidP="00E83348">
            <w:pPr>
              <w:shd w:val="clear" w:color="auto" w:fill="FFFFFF"/>
              <w:ind w:left="-108"/>
              <w:jc w:val="center"/>
              <w:rPr>
                <w:rFonts w:cs="Times New Roman"/>
                <w:b/>
                <w:szCs w:val="28"/>
              </w:rPr>
            </w:pPr>
          </w:p>
          <w:p w14:paraId="60504437" w14:textId="77777777" w:rsidR="00270363" w:rsidRPr="005A5739" w:rsidRDefault="00270363" w:rsidP="00E83348">
            <w:pPr>
              <w:shd w:val="clear" w:color="auto" w:fill="FFFFFF"/>
              <w:ind w:left="-108"/>
              <w:jc w:val="center"/>
              <w:rPr>
                <w:rFonts w:cs="Times New Roman"/>
                <w:b/>
                <w:szCs w:val="28"/>
              </w:rPr>
            </w:pPr>
          </w:p>
          <w:p w14:paraId="350DD432" w14:textId="77777777" w:rsidR="00270363" w:rsidRPr="005A5739" w:rsidRDefault="00270363" w:rsidP="00E83348">
            <w:pPr>
              <w:shd w:val="clear" w:color="auto" w:fill="FFFFFF"/>
              <w:ind w:left="-108"/>
              <w:jc w:val="center"/>
              <w:rPr>
                <w:rFonts w:cs="Times New Roman"/>
                <w:b/>
                <w:szCs w:val="28"/>
              </w:rPr>
            </w:pPr>
          </w:p>
          <w:p w14:paraId="42C34B79" w14:textId="77777777" w:rsidR="00270363" w:rsidRPr="005A5739" w:rsidRDefault="00270363" w:rsidP="00E83348">
            <w:pPr>
              <w:shd w:val="clear" w:color="auto" w:fill="FFFFFF"/>
              <w:ind w:left="-108"/>
              <w:jc w:val="center"/>
              <w:rPr>
                <w:rFonts w:cs="Times New Roman"/>
                <w:b/>
                <w:szCs w:val="28"/>
              </w:rPr>
            </w:pPr>
          </w:p>
          <w:p w14:paraId="1E914834" w14:textId="77777777" w:rsidR="00270363" w:rsidRPr="005A5739" w:rsidRDefault="00270363" w:rsidP="00E83348">
            <w:pPr>
              <w:shd w:val="clear" w:color="auto" w:fill="FFFFFF"/>
              <w:ind w:left="-108"/>
              <w:jc w:val="center"/>
              <w:rPr>
                <w:rFonts w:cs="Times New Roman"/>
                <w:b/>
                <w:szCs w:val="28"/>
              </w:rPr>
            </w:pPr>
          </w:p>
          <w:p w14:paraId="3A5EC7B9" w14:textId="29FD46BE" w:rsidR="00270363" w:rsidRPr="005A5739" w:rsidRDefault="00270363" w:rsidP="00E83348">
            <w:pPr>
              <w:shd w:val="clear" w:color="auto" w:fill="FFFFFF"/>
              <w:ind w:left="-108"/>
              <w:jc w:val="center"/>
              <w:rPr>
                <w:rFonts w:cs="Times New Roman"/>
                <w:b/>
                <w:szCs w:val="28"/>
              </w:rPr>
            </w:pPr>
          </w:p>
        </w:tc>
        <w:tc>
          <w:tcPr>
            <w:tcW w:w="3510" w:type="dxa"/>
          </w:tcPr>
          <w:p w14:paraId="7CFF0B06" w14:textId="77777777" w:rsidR="00D53A2D" w:rsidRPr="005A5739" w:rsidRDefault="00D53A2D" w:rsidP="00672D7A">
            <w:pPr>
              <w:shd w:val="clear" w:color="auto" w:fill="FFFFFF"/>
              <w:ind w:left="-108"/>
              <w:jc w:val="center"/>
              <w:rPr>
                <w:rFonts w:cs="Times New Roman"/>
                <w:b/>
                <w:szCs w:val="28"/>
              </w:rPr>
            </w:pPr>
          </w:p>
        </w:tc>
      </w:tr>
      <w:tr w:rsidR="005A5739" w:rsidRPr="005A5739" w14:paraId="47C0C516" w14:textId="5F56D4D2" w:rsidTr="00D53A2D">
        <w:trPr>
          <w:trHeight w:val="58"/>
        </w:trPr>
        <w:tc>
          <w:tcPr>
            <w:tcW w:w="5637" w:type="dxa"/>
            <w:vMerge/>
          </w:tcPr>
          <w:p w14:paraId="443B4C4F" w14:textId="77777777" w:rsidR="00D53A2D" w:rsidRPr="005A5739" w:rsidRDefault="00D53A2D" w:rsidP="00672D7A">
            <w:pPr>
              <w:shd w:val="clear" w:color="auto" w:fill="FFFFFF"/>
              <w:ind w:left="-68"/>
              <w:rPr>
                <w:rFonts w:cs="Times New Roman"/>
                <w:b/>
                <w:i/>
                <w:szCs w:val="28"/>
              </w:rPr>
            </w:pPr>
          </w:p>
        </w:tc>
        <w:tc>
          <w:tcPr>
            <w:tcW w:w="3510" w:type="dxa"/>
          </w:tcPr>
          <w:p w14:paraId="31EB474B" w14:textId="77777777" w:rsidR="00D53A2D" w:rsidRPr="005A5739" w:rsidRDefault="00D53A2D" w:rsidP="00672D7A">
            <w:pPr>
              <w:shd w:val="clear" w:color="auto" w:fill="FFFFFF"/>
              <w:ind w:left="-108"/>
              <w:rPr>
                <w:rFonts w:cs="Times New Roman"/>
                <w:b/>
                <w:szCs w:val="28"/>
              </w:rPr>
            </w:pPr>
          </w:p>
          <w:p w14:paraId="2A1AE4DC" w14:textId="77777777" w:rsidR="00D53A2D" w:rsidRPr="005A5739" w:rsidRDefault="00D53A2D" w:rsidP="00672D7A">
            <w:pPr>
              <w:shd w:val="clear" w:color="auto" w:fill="FFFFFF"/>
              <w:ind w:left="-108"/>
              <w:rPr>
                <w:rFonts w:cs="Times New Roman"/>
                <w:b/>
                <w:szCs w:val="28"/>
              </w:rPr>
            </w:pPr>
          </w:p>
          <w:p w14:paraId="64CA92E1" w14:textId="77777777" w:rsidR="00D53A2D" w:rsidRPr="005A5739" w:rsidRDefault="00D53A2D" w:rsidP="00672D7A">
            <w:pPr>
              <w:shd w:val="clear" w:color="auto" w:fill="FFFFFF"/>
              <w:ind w:left="-108"/>
              <w:rPr>
                <w:rFonts w:cs="Times New Roman"/>
                <w:b/>
                <w:szCs w:val="28"/>
              </w:rPr>
            </w:pPr>
          </w:p>
          <w:p w14:paraId="4A719C1A" w14:textId="77777777" w:rsidR="00D53A2D" w:rsidRPr="005A5739" w:rsidRDefault="00D53A2D" w:rsidP="00672D7A">
            <w:pPr>
              <w:shd w:val="clear" w:color="auto" w:fill="FFFFFF"/>
              <w:ind w:left="-108"/>
              <w:rPr>
                <w:rFonts w:cs="Times New Roman"/>
                <w:b/>
                <w:szCs w:val="28"/>
              </w:rPr>
            </w:pPr>
          </w:p>
          <w:p w14:paraId="037E6D89" w14:textId="77777777" w:rsidR="00D53A2D" w:rsidRPr="005A5739" w:rsidRDefault="00D53A2D" w:rsidP="00672D7A">
            <w:pPr>
              <w:shd w:val="clear" w:color="auto" w:fill="FFFFFF"/>
              <w:ind w:left="-108"/>
              <w:rPr>
                <w:rFonts w:cs="Times New Roman"/>
                <w:b/>
                <w:szCs w:val="28"/>
              </w:rPr>
            </w:pPr>
          </w:p>
          <w:p w14:paraId="243CDD50" w14:textId="77777777" w:rsidR="00D53A2D" w:rsidRPr="005A5739" w:rsidRDefault="00D53A2D" w:rsidP="00672D7A">
            <w:pPr>
              <w:shd w:val="clear" w:color="auto" w:fill="FFFFFF"/>
              <w:ind w:left="-108"/>
              <w:rPr>
                <w:rFonts w:cs="Times New Roman"/>
                <w:b/>
                <w:szCs w:val="28"/>
              </w:rPr>
            </w:pPr>
          </w:p>
          <w:p w14:paraId="4E0316E9" w14:textId="77777777" w:rsidR="00D53A2D" w:rsidRPr="005A5739" w:rsidRDefault="00D53A2D" w:rsidP="00672D7A">
            <w:pPr>
              <w:shd w:val="clear" w:color="auto" w:fill="FFFFFF"/>
              <w:ind w:left="-108"/>
              <w:rPr>
                <w:rFonts w:cs="Times New Roman"/>
                <w:b/>
                <w:szCs w:val="28"/>
              </w:rPr>
            </w:pPr>
          </w:p>
          <w:p w14:paraId="6792C21B" w14:textId="77777777" w:rsidR="00D53A2D" w:rsidRPr="005A5739" w:rsidRDefault="00D53A2D" w:rsidP="00672D7A">
            <w:pPr>
              <w:shd w:val="clear" w:color="auto" w:fill="FFFFFF"/>
              <w:ind w:left="-108"/>
              <w:rPr>
                <w:rFonts w:cs="Times New Roman"/>
                <w:b/>
                <w:szCs w:val="28"/>
              </w:rPr>
            </w:pPr>
          </w:p>
          <w:p w14:paraId="042D815F" w14:textId="77777777" w:rsidR="00D53A2D" w:rsidRPr="005A5739" w:rsidRDefault="00D53A2D" w:rsidP="00672D7A">
            <w:pPr>
              <w:shd w:val="clear" w:color="auto" w:fill="FFFFFF"/>
              <w:ind w:left="-108"/>
              <w:rPr>
                <w:rFonts w:cs="Times New Roman"/>
                <w:b/>
                <w:szCs w:val="28"/>
              </w:rPr>
            </w:pPr>
          </w:p>
          <w:p w14:paraId="0FB25703" w14:textId="77777777" w:rsidR="00D53A2D" w:rsidRPr="005A5739" w:rsidRDefault="00D53A2D" w:rsidP="00D53A2D">
            <w:pPr>
              <w:shd w:val="clear" w:color="auto" w:fill="FFFFFF"/>
              <w:ind w:left="-108"/>
              <w:jc w:val="center"/>
              <w:rPr>
                <w:rFonts w:cs="Times New Roman"/>
                <w:b/>
                <w:szCs w:val="28"/>
              </w:rPr>
            </w:pPr>
          </w:p>
        </w:tc>
        <w:tc>
          <w:tcPr>
            <w:tcW w:w="3510" w:type="dxa"/>
          </w:tcPr>
          <w:p w14:paraId="212F6F02" w14:textId="77777777" w:rsidR="00D53A2D" w:rsidRPr="005A5739" w:rsidRDefault="00D53A2D" w:rsidP="00672D7A">
            <w:pPr>
              <w:shd w:val="clear" w:color="auto" w:fill="FFFFFF"/>
              <w:ind w:left="-108"/>
              <w:rPr>
                <w:rFonts w:cs="Times New Roman"/>
                <w:b/>
                <w:szCs w:val="28"/>
              </w:rPr>
            </w:pPr>
          </w:p>
        </w:tc>
      </w:tr>
    </w:tbl>
    <w:p w14:paraId="7420BD57" w14:textId="1021B28E" w:rsidR="00201698" w:rsidRPr="009715CF" w:rsidRDefault="00201698" w:rsidP="000B6B44">
      <w:pPr>
        <w:spacing w:after="200" w:line="276" w:lineRule="auto"/>
        <w:rPr>
          <w:rFonts w:cs="Times New Roman"/>
          <w:szCs w:val="28"/>
          <w:lang w:val="vi-VN"/>
        </w:rPr>
      </w:pPr>
    </w:p>
    <w:sectPr w:rsidR="00201698" w:rsidRPr="009715CF" w:rsidSect="00CE352A">
      <w:headerReference w:type="default" r:id="rId8"/>
      <w:pgSz w:w="11907" w:h="16840" w:code="9"/>
      <w:pgMar w:top="1134" w:right="1134" w:bottom="96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9AB7C" w14:textId="77777777" w:rsidR="003C1C11" w:rsidRDefault="003C1C11" w:rsidP="00817E2A">
      <w:r>
        <w:separator/>
      </w:r>
    </w:p>
  </w:endnote>
  <w:endnote w:type="continuationSeparator" w:id="0">
    <w:p w14:paraId="7B8223C5" w14:textId="77777777" w:rsidR="003C1C11" w:rsidRDefault="003C1C11" w:rsidP="00817E2A">
      <w:r>
        <w:continuationSeparator/>
      </w:r>
    </w:p>
  </w:endnote>
  <w:endnote w:type="continuationNotice" w:id="1">
    <w:p w14:paraId="71B2D6A8" w14:textId="77777777" w:rsidR="003C1C11" w:rsidRDefault="003C1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F84C9" w14:textId="77777777" w:rsidR="003C1C11" w:rsidRDefault="003C1C11" w:rsidP="00817E2A">
      <w:r>
        <w:separator/>
      </w:r>
    </w:p>
  </w:footnote>
  <w:footnote w:type="continuationSeparator" w:id="0">
    <w:p w14:paraId="68CCEB44" w14:textId="77777777" w:rsidR="003C1C11" w:rsidRDefault="003C1C11" w:rsidP="00817E2A">
      <w:r>
        <w:continuationSeparator/>
      </w:r>
    </w:p>
  </w:footnote>
  <w:footnote w:type="continuationNotice" w:id="1">
    <w:p w14:paraId="487C0758" w14:textId="77777777" w:rsidR="003C1C11" w:rsidRDefault="003C1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026364"/>
      <w:docPartObj>
        <w:docPartGallery w:val="Page Numbers (Top of Page)"/>
        <w:docPartUnique/>
      </w:docPartObj>
    </w:sdtPr>
    <w:sdtEndPr>
      <w:rPr>
        <w:noProof/>
      </w:rPr>
    </w:sdtEndPr>
    <w:sdtContent>
      <w:p w14:paraId="35E6E574" w14:textId="1476D149" w:rsidR="001B56E2" w:rsidRDefault="001B56E2" w:rsidP="00817E2A">
        <w:pPr>
          <w:pStyle w:val="Header"/>
          <w:jc w:val="center"/>
        </w:pPr>
        <w:r>
          <w:fldChar w:fldCharType="begin"/>
        </w:r>
        <w:r>
          <w:instrText xml:space="preserve"> PAGE   \* MERGEFORMAT </w:instrText>
        </w:r>
        <w:r>
          <w:fldChar w:fldCharType="separate"/>
        </w:r>
        <w:r w:rsidR="00460241">
          <w:rPr>
            <w:noProof/>
          </w:rPr>
          <w:t>11</w:t>
        </w:r>
        <w:r>
          <w:rPr>
            <w:noProof/>
          </w:rPr>
          <w:fldChar w:fldCharType="end"/>
        </w:r>
      </w:p>
    </w:sdtContent>
  </w:sdt>
  <w:p w14:paraId="098BD56E" w14:textId="77777777" w:rsidR="001B56E2" w:rsidRDefault="001B5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7D7"/>
    <w:multiLevelType w:val="hybridMultilevel"/>
    <w:tmpl w:val="1408F140"/>
    <w:lvl w:ilvl="0" w:tplc="4432A1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3A036B"/>
    <w:multiLevelType w:val="hybridMultilevel"/>
    <w:tmpl w:val="3DA40A64"/>
    <w:lvl w:ilvl="0" w:tplc="0336A1D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0E423DF3"/>
    <w:multiLevelType w:val="hybridMultilevel"/>
    <w:tmpl w:val="60F62554"/>
    <w:lvl w:ilvl="0" w:tplc="610EA9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D273A7"/>
    <w:multiLevelType w:val="hybridMultilevel"/>
    <w:tmpl w:val="A23C56B6"/>
    <w:lvl w:ilvl="0" w:tplc="90327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6082E13"/>
    <w:multiLevelType w:val="hybridMultilevel"/>
    <w:tmpl w:val="7402F102"/>
    <w:lvl w:ilvl="0" w:tplc="33B86E22">
      <w:start w:val="1"/>
      <w:numFmt w:val="decimal"/>
      <w:lvlText w:val="%1."/>
      <w:lvlJc w:val="left"/>
      <w:pPr>
        <w:ind w:left="1155" w:hanging="360"/>
      </w:pPr>
      <w:rPr>
        <w:rFonts w:eastAsia="Aria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3604638E"/>
    <w:multiLevelType w:val="hybridMultilevel"/>
    <w:tmpl w:val="C27EDD62"/>
    <w:lvl w:ilvl="0" w:tplc="530E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71FE7"/>
    <w:multiLevelType w:val="hybridMultilevel"/>
    <w:tmpl w:val="24B23ECE"/>
    <w:lvl w:ilvl="0" w:tplc="B1A6B84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B4C88"/>
    <w:multiLevelType w:val="hybridMultilevel"/>
    <w:tmpl w:val="B6A8E494"/>
    <w:lvl w:ilvl="0" w:tplc="CC16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D51C19"/>
    <w:multiLevelType w:val="hybridMultilevel"/>
    <w:tmpl w:val="459ABB50"/>
    <w:lvl w:ilvl="0" w:tplc="2052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242E40"/>
    <w:multiLevelType w:val="hybridMultilevel"/>
    <w:tmpl w:val="C06C77F6"/>
    <w:lvl w:ilvl="0" w:tplc="98C8C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C13755"/>
    <w:multiLevelType w:val="hybridMultilevel"/>
    <w:tmpl w:val="A46C5A1A"/>
    <w:lvl w:ilvl="0" w:tplc="4CDCE2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40309A"/>
    <w:multiLevelType w:val="hybridMultilevel"/>
    <w:tmpl w:val="4EB868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46A69"/>
    <w:multiLevelType w:val="hybridMultilevel"/>
    <w:tmpl w:val="B5368DC0"/>
    <w:lvl w:ilvl="0" w:tplc="DA4E688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D0815"/>
    <w:multiLevelType w:val="hybridMultilevel"/>
    <w:tmpl w:val="378201FA"/>
    <w:lvl w:ilvl="0" w:tplc="5CD237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9267ACB"/>
    <w:multiLevelType w:val="hybridMultilevel"/>
    <w:tmpl w:val="F4E23F14"/>
    <w:lvl w:ilvl="0" w:tplc="A83ED8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88088439">
    <w:abstractNumId w:val="14"/>
  </w:num>
  <w:num w:numId="2" w16cid:durableId="567376694">
    <w:abstractNumId w:val="5"/>
  </w:num>
  <w:num w:numId="3" w16cid:durableId="829558627">
    <w:abstractNumId w:val="11"/>
  </w:num>
  <w:num w:numId="4" w16cid:durableId="814637861">
    <w:abstractNumId w:val="10"/>
  </w:num>
  <w:num w:numId="5" w16cid:durableId="324864111">
    <w:abstractNumId w:val="4"/>
  </w:num>
  <w:num w:numId="6" w16cid:durableId="832448391">
    <w:abstractNumId w:val="6"/>
  </w:num>
  <w:num w:numId="7" w16cid:durableId="92437782">
    <w:abstractNumId w:val="8"/>
  </w:num>
  <w:num w:numId="8" w16cid:durableId="240530589">
    <w:abstractNumId w:val="12"/>
  </w:num>
  <w:num w:numId="9" w16cid:durableId="606159620">
    <w:abstractNumId w:val="3"/>
  </w:num>
  <w:num w:numId="10" w16cid:durableId="1077556124">
    <w:abstractNumId w:val="15"/>
  </w:num>
  <w:num w:numId="11" w16cid:durableId="2051754">
    <w:abstractNumId w:val="1"/>
  </w:num>
  <w:num w:numId="12" w16cid:durableId="1938555864">
    <w:abstractNumId w:val="9"/>
  </w:num>
  <w:num w:numId="13" w16cid:durableId="799036386">
    <w:abstractNumId w:val="7"/>
  </w:num>
  <w:num w:numId="14" w16cid:durableId="1811173620">
    <w:abstractNumId w:val="16"/>
  </w:num>
  <w:num w:numId="15" w16cid:durableId="171722168">
    <w:abstractNumId w:val="2"/>
  </w:num>
  <w:num w:numId="16" w16cid:durableId="368527874">
    <w:abstractNumId w:val="0"/>
  </w:num>
  <w:num w:numId="17" w16cid:durableId="1741757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7A"/>
    <w:rsid w:val="00000A7F"/>
    <w:rsid w:val="000020A4"/>
    <w:rsid w:val="00002CD4"/>
    <w:rsid w:val="000032DF"/>
    <w:rsid w:val="00003756"/>
    <w:rsid w:val="000054CA"/>
    <w:rsid w:val="00007C0E"/>
    <w:rsid w:val="000106FF"/>
    <w:rsid w:val="000134ED"/>
    <w:rsid w:val="00014462"/>
    <w:rsid w:val="0002116F"/>
    <w:rsid w:val="00025C9F"/>
    <w:rsid w:val="00030753"/>
    <w:rsid w:val="00034F9B"/>
    <w:rsid w:val="00040151"/>
    <w:rsid w:val="00042627"/>
    <w:rsid w:val="00044A59"/>
    <w:rsid w:val="00045BA4"/>
    <w:rsid w:val="00047DE6"/>
    <w:rsid w:val="00051AE4"/>
    <w:rsid w:val="0005264F"/>
    <w:rsid w:val="00052723"/>
    <w:rsid w:val="000604A2"/>
    <w:rsid w:val="00063953"/>
    <w:rsid w:val="00063B66"/>
    <w:rsid w:val="00071FC8"/>
    <w:rsid w:val="000724EC"/>
    <w:rsid w:val="000730C2"/>
    <w:rsid w:val="00074BAC"/>
    <w:rsid w:val="00077389"/>
    <w:rsid w:val="00077BB4"/>
    <w:rsid w:val="00077E5B"/>
    <w:rsid w:val="0008121F"/>
    <w:rsid w:val="00081BDA"/>
    <w:rsid w:val="00084573"/>
    <w:rsid w:val="000853A6"/>
    <w:rsid w:val="00085E26"/>
    <w:rsid w:val="00086BB9"/>
    <w:rsid w:val="00087759"/>
    <w:rsid w:val="00090E4B"/>
    <w:rsid w:val="00091BC5"/>
    <w:rsid w:val="00095A2B"/>
    <w:rsid w:val="000A04CE"/>
    <w:rsid w:val="000A142A"/>
    <w:rsid w:val="000A3415"/>
    <w:rsid w:val="000A7B7B"/>
    <w:rsid w:val="000B205E"/>
    <w:rsid w:val="000B28FF"/>
    <w:rsid w:val="000B3BE1"/>
    <w:rsid w:val="000B6B44"/>
    <w:rsid w:val="000B7B6D"/>
    <w:rsid w:val="000C2650"/>
    <w:rsid w:val="000C73DE"/>
    <w:rsid w:val="000D246F"/>
    <w:rsid w:val="000D45F9"/>
    <w:rsid w:val="000D4810"/>
    <w:rsid w:val="000D48CE"/>
    <w:rsid w:val="000E053B"/>
    <w:rsid w:val="000E10DD"/>
    <w:rsid w:val="000E38F4"/>
    <w:rsid w:val="000E406F"/>
    <w:rsid w:val="000E71D4"/>
    <w:rsid w:val="000E749E"/>
    <w:rsid w:val="000E7D84"/>
    <w:rsid w:val="000F12CE"/>
    <w:rsid w:val="000F23D6"/>
    <w:rsid w:val="000F2ACC"/>
    <w:rsid w:val="000F61F8"/>
    <w:rsid w:val="000F7111"/>
    <w:rsid w:val="0010183B"/>
    <w:rsid w:val="001042E3"/>
    <w:rsid w:val="001111D6"/>
    <w:rsid w:val="001115D8"/>
    <w:rsid w:val="0011376D"/>
    <w:rsid w:val="00113B3C"/>
    <w:rsid w:val="00116310"/>
    <w:rsid w:val="00116F51"/>
    <w:rsid w:val="00117A6F"/>
    <w:rsid w:val="0012022C"/>
    <w:rsid w:val="00121CED"/>
    <w:rsid w:val="001254D8"/>
    <w:rsid w:val="001328A5"/>
    <w:rsid w:val="001329E3"/>
    <w:rsid w:val="00133D5A"/>
    <w:rsid w:val="001356BB"/>
    <w:rsid w:val="00140174"/>
    <w:rsid w:val="00141303"/>
    <w:rsid w:val="00143526"/>
    <w:rsid w:val="00145ADD"/>
    <w:rsid w:val="00145E60"/>
    <w:rsid w:val="00147A15"/>
    <w:rsid w:val="00147A1B"/>
    <w:rsid w:val="00151056"/>
    <w:rsid w:val="00151900"/>
    <w:rsid w:val="00152688"/>
    <w:rsid w:val="001619F4"/>
    <w:rsid w:val="00163405"/>
    <w:rsid w:val="00164217"/>
    <w:rsid w:val="00171CF6"/>
    <w:rsid w:val="00175A2D"/>
    <w:rsid w:val="00177BE9"/>
    <w:rsid w:val="00181254"/>
    <w:rsid w:val="001830E9"/>
    <w:rsid w:val="0018320C"/>
    <w:rsid w:val="00187A96"/>
    <w:rsid w:val="00187B55"/>
    <w:rsid w:val="00190DE7"/>
    <w:rsid w:val="0019246B"/>
    <w:rsid w:val="00192B5F"/>
    <w:rsid w:val="00193018"/>
    <w:rsid w:val="00193626"/>
    <w:rsid w:val="0019388C"/>
    <w:rsid w:val="00195E61"/>
    <w:rsid w:val="001A02DB"/>
    <w:rsid w:val="001A1654"/>
    <w:rsid w:val="001A19FA"/>
    <w:rsid w:val="001A5CCA"/>
    <w:rsid w:val="001A7300"/>
    <w:rsid w:val="001B56E2"/>
    <w:rsid w:val="001B5885"/>
    <w:rsid w:val="001B6DD6"/>
    <w:rsid w:val="001C0CD7"/>
    <w:rsid w:val="001C76E2"/>
    <w:rsid w:val="001D161F"/>
    <w:rsid w:val="001D1715"/>
    <w:rsid w:val="001D2F60"/>
    <w:rsid w:val="001D7DFD"/>
    <w:rsid w:val="001E19B1"/>
    <w:rsid w:val="001E3A98"/>
    <w:rsid w:val="001E40DD"/>
    <w:rsid w:val="001E4658"/>
    <w:rsid w:val="001E5368"/>
    <w:rsid w:val="001F066E"/>
    <w:rsid w:val="001F0837"/>
    <w:rsid w:val="001F22AB"/>
    <w:rsid w:val="001F2DA7"/>
    <w:rsid w:val="001F4222"/>
    <w:rsid w:val="001F712B"/>
    <w:rsid w:val="00200982"/>
    <w:rsid w:val="00201698"/>
    <w:rsid w:val="00201C7F"/>
    <w:rsid w:val="00202441"/>
    <w:rsid w:val="00202963"/>
    <w:rsid w:val="00202C85"/>
    <w:rsid w:val="00203F68"/>
    <w:rsid w:val="00205551"/>
    <w:rsid w:val="0020571E"/>
    <w:rsid w:val="00205CC7"/>
    <w:rsid w:val="0020715E"/>
    <w:rsid w:val="002116C1"/>
    <w:rsid w:val="00213227"/>
    <w:rsid w:val="002133A0"/>
    <w:rsid w:val="002142A9"/>
    <w:rsid w:val="0021795C"/>
    <w:rsid w:val="0022175D"/>
    <w:rsid w:val="00222035"/>
    <w:rsid w:val="00223B0E"/>
    <w:rsid w:val="002312BA"/>
    <w:rsid w:val="00232395"/>
    <w:rsid w:val="0023389E"/>
    <w:rsid w:val="00234A15"/>
    <w:rsid w:val="002357AD"/>
    <w:rsid w:val="00237E5E"/>
    <w:rsid w:val="00240CE2"/>
    <w:rsid w:val="00246CD6"/>
    <w:rsid w:val="00250FF5"/>
    <w:rsid w:val="002520B8"/>
    <w:rsid w:val="00252411"/>
    <w:rsid w:val="0025330A"/>
    <w:rsid w:val="00253A02"/>
    <w:rsid w:val="0025486C"/>
    <w:rsid w:val="00257778"/>
    <w:rsid w:val="00260188"/>
    <w:rsid w:val="00260BA1"/>
    <w:rsid w:val="00262505"/>
    <w:rsid w:val="002672D0"/>
    <w:rsid w:val="00267AA4"/>
    <w:rsid w:val="00267ABD"/>
    <w:rsid w:val="00270363"/>
    <w:rsid w:val="00270FB2"/>
    <w:rsid w:val="002736CF"/>
    <w:rsid w:val="00273AAE"/>
    <w:rsid w:val="00273D46"/>
    <w:rsid w:val="002839C8"/>
    <w:rsid w:val="0028433C"/>
    <w:rsid w:val="002865ED"/>
    <w:rsid w:val="00290B37"/>
    <w:rsid w:val="002915ED"/>
    <w:rsid w:val="0029226D"/>
    <w:rsid w:val="002A04BA"/>
    <w:rsid w:val="002A077D"/>
    <w:rsid w:val="002A22C0"/>
    <w:rsid w:val="002A5377"/>
    <w:rsid w:val="002A793D"/>
    <w:rsid w:val="002B022B"/>
    <w:rsid w:val="002B488B"/>
    <w:rsid w:val="002B55D4"/>
    <w:rsid w:val="002C175A"/>
    <w:rsid w:val="002C42C1"/>
    <w:rsid w:val="002C6324"/>
    <w:rsid w:val="002C6FB7"/>
    <w:rsid w:val="002D0A5D"/>
    <w:rsid w:val="002D1033"/>
    <w:rsid w:val="002D5D3A"/>
    <w:rsid w:val="002D7643"/>
    <w:rsid w:val="002E2DF5"/>
    <w:rsid w:val="002F37E8"/>
    <w:rsid w:val="002F56F9"/>
    <w:rsid w:val="003003AD"/>
    <w:rsid w:val="00303DBA"/>
    <w:rsid w:val="00305596"/>
    <w:rsid w:val="003067C7"/>
    <w:rsid w:val="003123D3"/>
    <w:rsid w:val="00314B7D"/>
    <w:rsid w:val="00323C6A"/>
    <w:rsid w:val="00324F41"/>
    <w:rsid w:val="00325DD8"/>
    <w:rsid w:val="00327F98"/>
    <w:rsid w:val="00330658"/>
    <w:rsid w:val="00331970"/>
    <w:rsid w:val="00333D82"/>
    <w:rsid w:val="00334371"/>
    <w:rsid w:val="00334A6A"/>
    <w:rsid w:val="00337D2E"/>
    <w:rsid w:val="00341D94"/>
    <w:rsid w:val="00345857"/>
    <w:rsid w:val="00347F88"/>
    <w:rsid w:val="00353279"/>
    <w:rsid w:val="00353E79"/>
    <w:rsid w:val="003600E5"/>
    <w:rsid w:val="00362591"/>
    <w:rsid w:val="00364EB1"/>
    <w:rsid w:val="00365CFB"/>
    <w:rsid w:val="003660D2"/>
    <w:rsid w:val="00370BBB"/>
    <w:rsid w:val="00370D50"/>
    <w:rsid w:val="00371612"/>
    <w:rsid w:val="00371DF0"/>
    <w:rsid w:val="0037339D"/>
    <w:rsid w:val="0037440A"/>
    <w:rsid w:val="0037561C"/>
    <w:rsid w:val="0038075A"/>
    <w:rsid w:val="003812E5"/>
    <w:rsid w:val="00384FC6"/>
    <w:rsid w:val="00386666"/>
    <w:rsid w:val="0039397F"/>
    <w:rsid w:val="00393C33"/>
    <w:rsid w:val="00395261"/>
    <w:rsid w:val="003956C6"/>
    <w:rsid w:val="00395F7F"/>
    <w:rsid w:val="0039640A"/>
    <w:rsid w:val="003A5879"/>
    <w:rsid w:val="003A5EEC"/>
    <w:rsid w:val="003B05FD"/>
    <w:rsid w:val="003B0675"/>
    <w:rsid w:val="003B1E58"/>
    <w:rsid w:val="003B385B"/>
    <w:rsid w:val="003B4A16"/>
    <w:rsid w:val="003B5B2A"/>
    <w:rsid w:val="003C1C11"/>
    <w:rsid w:val="003C1E38"/>
    <w:rsid w:val="003C20C9"/>
    <w:rsid w:val="003C377B"/>
    <w:rsid w:val="003C3A32"/>
    <w:rsid w:val="003D0F50"/>
    <w:rsid w:val="003D2FC5"/>
    <w:rsid w:val="003D38E1"/>
    <w:rsid w:val="003D39AA"/>
    <w:rsid w:val="003D4960"/>
    <w:rsid w:val="003D51FC"/>
    <w:rsid w:val="003D652C"/>
    <w:rsid w:val="003D7BFF"/>
    <w:rsid w:val="003E074D"/>
    <w:rsid w:val="003E143F"/>
    <w:rsid w:val="003E5D12"/>
    <w:rsid w:val="003E6259"/>
    <w:rsid w:val="003F0574"/>
    <w:rsid w:val="003F2C64"/>
    <w:rsid w:val="003F5752"/>
    <w:rsid w:val="003F6812"/>
    <w:rsid w:val="003F7F87"/>
    <w:rsid w:val="00400AA7"/>
    <w:rsid w:val="00402054"/>
    <w:rsid w:val="00407AF5"/>
    <w:rsid w:val="00407F3D"/>
    <w:rsid w:val="0041078C"/>
    <w:rsid w:val="00410FF6"/>
    <w:rsid w:val="00416038"/>
    <w:rsid w:val="004166FA"/>
    <w:rsid w:val="00420E56"/>
    <w:rsid w:val="00421427"/>
    <w:rsid w:val="00425513"/>
    <w:rsid w:val="0042597B"/>
    <w:rsid w:val="0042626C"/>
    <w:rsid w:val="00426314"/>
    <w:rsid w:val="00427048"/>
    <w:rsid w:val="00427716"/>
    <w:rsid w:val="00432CBC"/>
    <w:rsid w:val="00432FB2"/>
    <w:rsid w:val="004369EF"/>
    <w:rsid w:val="0044030E"/>
    <w:rsid w:val="00442688"/>
    <w:rsid w:val="00457435"/>
    <w:rsid w:val="00457499"/>
    <w:rsid w:val="004579B7"/>
    <w:rsid w:val="00457EED"/>
    <w:rsid w:val="00460241"/>
    <w:rsid w:val="00463F76"/>
    <w:rsid w:val="00464EAD"/>
    <w:rsid w:val="00467136"/>
    <w:rsid w:val="004702C9"/>
    <w:rsid w:val="00473AEB"/>
    <w:rsid w:val="00474740"/>
    <w:rsid w:val="00475617"/>
    <w:rsid w:val="004805D3"/>
    <w:rsid w:val="004810D5"/>
    <w:rsid w:val="00481670"/>
    <w:rsid w:val="004839A3"/>
    <w:rsid w:val="0049030F"/>
    <w:rsid w:val="0049036B"/>
    <w:rsid w:val="004920C3"/>
    <w:rsid w:val="00492B5C"/>
    <w:rsid w:val="004930DD"/>
    <w:rsid w:val="00494DD6"/>
    <w:rsid w:val="004A1A24"/>
    <w:rsid w:val="004A20CB"/>
    <w:rsid w:val="004A3F9D"/>
    <w:rsid w:val="004A4E7F"/>
    <w:rsid w:val="004A52B2"/>
    <w:rsid w:val="004A7D35"/>
    <w:rsid w:val="004B1BF1"/>
    <w:rsid w:val="004B2304"/>
    <w:rsid w:val="004B2364"/>
    <w:rsid w:val="004B4533"/>
    <w:rsid w:val="004B5AC2"/>
    <w:rsid w:val="004C11B6"/>
    <w:rsid w:val="004C2243"/>
    <w:rsid w:val="004C3604"/>
    <w:rsid w:val="004D196C"/>
    <w:rsid w:val="004D2E2B"/>
    <w:rsid w:val="004D3B7C"/>
    <w:rsid w:val="004D4BAA"/>
    <w:rsid w:val="004D53CD"/>
    <w:rsid w:val="004D5B3A"/>
    <w:rsid w:val="004E2591"/>
    <w:rsid w:val="004E275F"/>
    <w:rsid w:val="004E481E"/>
    <w:rsid w:val="004F7152"/>
    <w:rsid w:val="005012E9"/>
    <w:rsid w:val="0050379C"/>
    <w:rsid w:val="00503A12"/>
    <w:rsid w:val="00506550"/>
    <w:rsid w:val="005109C9"/>
    <w:rsid w:val="00514E22"/>
    <w:rsid w:val="00516193"/>
    <w:rsid w:val="00516D7B"/>
    <w:rsid w:val="00523B8A"/>
    <w:rsid w:val="00524317"/>
    <w:rsid w:val="0052587E"/>
    <w:rsid w:val="00527495"/>
    <w:rsid w:val="00530775"/>
    <w:rsid w:val="0053151A"/>
    <w:rsid w:val="00531C29"/>
    <w:rsid w:val="00533324"/>
    <w:rsid w:val="0053559D"/>
    <w:rsid w:val="005379D3"/>
    <w:rsid w:val="00540142"/>
    <w:rsid w:val="00542585"/>
    <w:rsid w:val="005457D6"/>
    <w:rsid w:val="005515F3"/>
    <w:rsid w:val="00552A84"/>
    <w:rsid w:val="0055338C"/>
    <w:rsid w:val="005546B7"/>
    <w:rsid w:val="00557039"/>
    <w:rsid w:val="005576B4"/>
    <w:rsid w:val="005623EC"/>
    <w:rsid w:val="00562851"/>
    <w:rsid w:val="00566ACF"/>
    <w:rsid w:val="00567312"/>
    <w:rsid w:val="00567A44"/>
    <w:rsid w:val="00567BE5"/>
    <w:rsid w:val="00570C61"/>
    <w:rsid w:val="0057268D"/>
    <w:rsid w:val="00572B2B"/>
    <w:rsid w:val="0057328C"/>
    <w:rsid w:val="005747CC"/>
    <w:rsid w:val="005800B1"/>
    <w:rsid w:val="00584BA7"/>
    <w:rsid w:val="00584E1F"/>
    <w:rsid w:val="00591DD1"/>
    <w:rsid w:val="00594A1F"/>
    <w:rsid w:val="00597B6F"/>
    <w:rsid w:val="005A20F7"/>
    <w:rsid w:val="005A3052"/>
    <w:rsid w:val="005A37B3"/>
    <w:rsid w:val="005A5739"/>
    <w:rsid w:val="005A61F2"/>
    <w:rsid w:val="005A7733"/>
    <w:rsid w:val="005A7F60"/>
    <w:rsid w:val="005B3375"/>
    <w:rsid w:val="005B4642"/>
    <w:rsid w:val="005B4D8C"/>
    <w:rsid w:val="005B4F4D"/>
    <w:rsid w:val="005B6DBC"/>
    <w:rsid w:val="005B7A82"/>
    <w:rsid w:val="005C010B"/>
    <w:rsid w:val="005C2860"/>
    <w:rsid w:val="005C34F4"/>
    <w:rsid w:val="005C54C4"/>
    <w:rsid w:val="005C6BC5"/>
    <w:rsid w:val="005D0AFD"/>
    <w:rsid w:val="005D2145"/>
    <w:rsid w:val="005D36AB"/>
    <w:rsid w:val="005D4120"/>
    <w:rsid w:val="005D51AD"/>
    <w:rsid w:val="005D646E"/>
    <w:rsid w:val="005D65D4"/>
    <w:rsid w:val="005D7F09"/>
    <w:rsid w:val="005E0176"/>
    <w:rsid w:val="005E4854"/>
    <w:rsid w:val="005E5982"/>
    <w:rsid w:val="005F3BE0"/>
    <w:rsid w:val="005F5047"/>
    <w:rsid w:val="005F5154"/>
    <w:rsid w:val="005F5395"/>
    <w:rsid w:val="005F65C2"/>
    <w:rsid w:val="006009DB"/>
    <w:rsid w:val="00600D7E"/>
    <w:rsid w:val="00602D23"/>
    <w:rsid w:val="006051C6"/>
    <w:rsid w:val="00605972"/>
    <w:rsid w:val="00606A22"/>
    <w:rsid w:val="00606A4C"/>
    <w:rsid w:val="00606C6B"/>
    <w:rsid w:val="0060780E"/>
    <w:rsid w:val="00611AC1"/>
    <w:rsid w:val="00613580"/>
    <w:rsid w:val="00620393"/>
    <w:rsid w:val="00621BBB"/>
    <w:rsid w:val="00622E3E"/>
    <w:rsid w:val="00623DC5"/>
    <w:rsid w:val="00624B37"/>
    <w:rsid w:val="006263E5"/>
    <w:rsid w:val="00627A9E"/>
    <w:rsid w:val="00633995"/>
    <w:rsid w:val="00634E0E"/>
    <w:rsid w:val="006365CF"/>
    <w:rsid w:val="006374BD"/>
    <w:rsid w:val="00637880"/>
    <w:rsid w:val="0064248D"/>
    <w:rsid w:val="0064586F"/>
    <w:rsid w:val="00645CB0"/>
    <w:rsid w:val="006468C3"/>
    <w:rsid w:val="0064733C"/>
    <w:rsid w:val="0064748F"/>
    <w:rsid w:val="00651E60"/>
    <w:rsid w:val="006540B9"/>
    <w:rsid w:val="00654BA1"/>
    <w:rsid w:val="0065691C"/>
    <w:rsid w:val="006627E8"/>
    <w:rsid w:val="0066359B"/>
    <w:rsid w:val="00665CB6"/>
    <w:rsid w:val="00671FF4"/>
    <w:rsid w:val="00672D7A"/>
    <w:rsid w:val="00680004"/>
    <w:rsid w:val="006800D4"/>
    <w:rsid w:val="00684E30"/>
    <w:rsid w:val="00686ABD"/>
    <w:rsid w:val="00691AE7"/>
    <w:rsid w:val="00693D5A"/>
    <w:rsid w:val="00694F3A"/>
    <w:rsid w:val="0069602C"/>
    <w:rsid w:val="00696F7F"/>
    <w:rsid w:val="006A3C84"/>
    <w:rsid w:val="006A4AFF"/>
    <w:rsid w:val="006A5260"/>
    <w:rsid w:val="006A6336"/>
    <w:rsid w:val="006A796E"/>
    <w:rsid w:val="006B0762"/>
    <w:rsid w:val="006B12A7"/>
    <w:rsid w:val="006B2189"/>
    <w:rsid w:val="006B5609"/>
    <w:rsid w:val="006B5627"/>
    <w:rsid w:val="006B61BD"/>
    <w:rsid w:val="006B69E4"/>
    <w:rsid w:val="006C2037"/>
    <w:rsid w:val="006C758B"/>
    <w:rsid w:val="006D3237"/>
    <w:rsid w:val="006D4515"/>
    <w:rsid w:val="006D5446"/>
    <w:rsid w:val="006D621F"/>
    <w:rsid w:val="006E093C"/>
    <w:rsid w:val="006E1998"/>
    <w:rsid w:val="006E2D44"/>
    <w:rsid w:val="006E2F41"/>
    <w:rsid w:val="006E7BE8"/>
    <w:rsid w:val="006F2C73"/>
    <w:rsid w:val="006F5121"/>
    <w:rsid w:val="006F55C3"/>
    <w:rsid w:val="00705CC7"/>
    <w:rsid w:val="00710238"/>
    <w:rsid w:val="00712AFF"/>
    <w:rsid w:val="00715FEE"/>
    <w:rsid w:val="007161CC"/>
    <w:rsid w:val="00720DC4"/>
    <w:rsid w:val="00722977"/>
    <w:rsid w:val="00722C7B"/>
    <w:rsid w:val="0072325A"/>
    <w:rsid w:val="007243B7"/>
    <w:rsid w:val="007311FF"/>
    <w:rsid w:val="00731EDD"/>
    <w:rsid w:val="00734522"/>
    <w:rsid w:val="00734688"/>
    <w:rsid w:val="007427EF"/>
    <w:rsid w:val="00742BAA"/>
    <w:rsid w:val="00746A11"/>
    <w:rsid w:val="0074781A"/>
    <w:rsid w:val="00747F60"/>
    <w:rsid w:val="007511B3"/>
    <w:rsid w:val="00753E3A"/>
    <w:rsid w:val="00762C66"/>
    <w:rsid w:val="0076592D"/>
    <w:rsid w:val="00766984"/>
    <w:rsid w:val="00767C7F"/>
    <w:rsid w:val="00771082"/>
    <w:rsid w:val="0077114F"/>
    <w:rsid w:val="00771D17"/>
    <w:rsid w:val="007722F1"/>
    <w:rsid w:val="00772C7C"/>
    <w:rsid w:val="00772D9E"/>
    <w:rsid w:val="007774E4"/>
    <w:rsid w:val="00780E07"/>
    <w:rsid w:val="007830B5"/>
    <w:rsid w:val="00787428"/>
    <w:rsid w:val="00792113"/>
    <w:rsid w:val="007923E9"/>
    <w:rsid w:val="007A161F"/>
    <w:rsid w:val="007A23EE"/>
    <w:rsid w:val="007A2AAA"/>
    <w:rsid w:val="007A2E08"/>
    <w:rsid w:val="007A519C"/>
    <w:rsid w:val="007A7B9E"/>
    <w:rsid w:val="007B0958"/>
    <w:rsid w:val="007B3335"/>
    <w:rsid w:val="007B5797"/>
    <w:rsid w:val="007B57B2"/>
    <w:rsid w:val="007C1AF0"/>
    <w:rsid w:val="007C1C69"/>
    <w:rsid w:val="007C2BE4"/>
    <w:rsid w:val="007C33E2"/>
    <w:rsid w:val="007C3A49"/>
    <w:rsid w:val="007C7C27"/>
    <w:rsid w:val="007D3512"/>
    <w:rsid w:val="007D379A"/>
    <w:rsid w:val="007D616C"/>
    <w:rsid w:val="007D70DE"/>
    <w:rsid w:val="007E1D3D"/>
    <w:rsid w:val="007E1F9E"/>
    <w:rsid w:val="007E30F0"/>
    <w:rsid w:val="007E3EF1"/>
    <w:rsid w:val="007E43F4"/>
    <w:rsid w:val="007E4918"/>
    <w:rsid w:val="007E4993"/>
    <w:rsid w:val="007E6C1D"/>
    <w:rsid w:val="007E7879"/>
    <w:rsid w:val="007F05EF"/>
    <w:rsid w:val="007F0BAD"/>
    <w:rsid w:val="007F0CE0"/>
    <w:rsid w:val="007F0F76"/>
    <w:rsid w:val="007F7EA9"/>
    <w:rsid w:val="00802040"/>
    <w:rsid w:val="008034C2"/>
    <w:rsid w:val="00804C87"/>
    <w:rsid w:val="008103F8"/>
    <w:rsid w:val="00814D1E"/>
    <w:rsid w:val="008167CD"/>
    <w:rsid w:val="00817E2A"/>
    <w:rsid w:val="00820E74"/>
    <w:rsid w:val="00821B80"/>
    <w:rsid w:val="008225F5"/>
    <w:rsid w:val="00823D31"/>
    <w:rsid w:val="00833A7A"/>
    <w:rsid w:val="00833ED1"/>
    <w:rsid w:val="00834E96"/>
    <w:rsid w:val="00835BD1"/>
    <w:rsid w:val="00842374"/>
    <w:rsid w:val="008439A4"/>
    <w:rsid w:val="00844982"/>
    <w:rsid w:val="00844E78"/>
    <w:rsid w:val="00846E5B"/>
    <w:rsid w:val="008578A3"/>
    <w:rsid w:val="00860442"/>
    <w:rsid w:val="00865BB2"/>
    <w:rsid w:val="00865DFF"/>
    <w:rsid w:val="00871EF9"/>
    <w:rsid w:val="00873D5E"/>
    <w:rsid w:val="00876EF2"/>
    <w:rsid w:val="00881270"/>
    <w:rsid w:val="008826B6"/>
    <w:rsid w:val="00882AC1"/>
    <w:rsid w:val="00883844"/>
    <w:rsid w:val="0088436A"/>
    <w:rsid w:val="008850DC"/>
    <w:rsid w:val="00885A5D"/>
    <w:rsid w:val="0089023E"/>
    <w:rsid w:val="00895EC0"/>
    <w:rsid w:val="00896A6B"/>
    <w:rsid w:val="008A08E8"/>
    <w:rsid w:val="008A3CBA"/>
    <w:rsid w:val="008A5D3F"/>
    <w:rsid w:val="008B0369"/>
    <w:rsid w:val="008B4A6C"/>
    <w:rsid w:val="008B7560"/>
    <w:rsid w:val="008C0806"/>
    <w:rsid w:val="008C223A"/>
    <w:rsid w:val="008C4045"/>
    <w:rsid w:val="008C4F5F"/>
    <w:rsid w:val="008C5031"/>
    <w:rsid w:val="008C580E"/>
    <w:rsid w:val="008C7145"/>
    <w:rsid w:val="008C7A54"/>
    <w:rsid w:val="008D1C9A"/>
    <w:rsid w:val="008D3720"/>
    <w:rsid w:val="008D5B3A"/>
    <w:rsid w:val="008D5C43"/>
    <w:rsid w:val="008E03CE"/>
    <w:rsid w:val="008E2A3D"/>
    <w:rsid w:val="008E2BB5"/>
    <w:rsid w:val="008E2D89"/>
    <w:rsid w:val="008E5BA8"/>
    <w:rsid w:val="008E7696"/>
    <w:rsid w:val="008E78AA"/>
    <w:rsid w:val="008E7D83"/>
    <w:rsid w:val="008F2217"/>
    <w:rsid w:val="008F224A"/>
    <w:rsid w:val="008F579F"/>
    <w:rsid w:val="008F6974"/>
    <w:rsid w:val="008F6F87"/>
    <w:rsid w:val="00903228"/>
    <w:rsid w:val="0090551F"/>
    <w:rsid w:val="0090662F"/>
    <w:rsid w:val="009075AB"/>
    <w:rsid w:val="009116C9"/>
    <w:rsid w:val="009123E5"/>
    <w:rsid w:val="00912560"/>
    <w:rsid w:val="009127A7"/>
    <w:rsid w:val="00913D30"/>
    <w:rsid w:val="00917CB5"/>
    <w:rsid w:val="00920F65"/>
    <w:rsid w:val="00924766"/>
    <w:rsid w:val="00925E59"/>
    <w:rsid w:val="00926024"/>
    <w:rsid w:val="0092693D"/>
    <w:rsid w:val="00926AC7"/>
    <w:rsid w:val="009308A4"/>
    <w:rsid w:val="00930B54"/>
    <w:rsid w:val="00931100"/>
    <w:rsid w:val="0093254D"/>
    <w:rsid w:val="00932FBB"/>
    <w:rsid w:val="0093364D"/>
    <w:rsid w:val="0093390D"/>
    <w:rsid w:val="00936FC5"/>
    <w:rsid w:val="00942DC2"/>
    <w:rsid w:val="00943130"/>
    <w:rsid w:val="00944B0D"/>
    <w:rsid w:val="009475AC"/>
    <w:rsid w:val="009531D8"/>
    <w:rsid w:val="009545C1"/>
    <w:rsid w:val="009603BE"/>
    <w:rsid w:val="00961016"/>
    <w:rsid w:val="00962DD2"/>
    <w:rsid w:val="00964F71"/>
    <w:rsid w:val="0096517C"/>
    <w:rsid w:val="0096585F"/>
    <w:rsid w:val="00966EF0"/>
    <w:rsid w:val="00967DBF"/>
    <w:rsid w:val="009715CF"/>
    <w:rsid w:val="0097233F"/>
    <w:rsid w:val="00976AAB"/>
    <w:rsid w:val="00976F79"/>
    <w:rsid w:val="00981090"/>
    <w:rsid w:val="009839F3"/>
    <w:rsid w:val="00984799"/>
    <w:rsid w:val="0098611C"/>
    <w:rsid w:val="00986B7A"/>
    <w:rsid w:val="00987F5A"/>
    <w:rsid w:val="009905B6"/>
    <w:rsid w:val="00990F12"/>
    <w:rsid w:val="00992759"/>
    <w:rsid w:val="009A0136"/>
    <w:rsid w:val="009A1FB8"/>
    <w:rsid w:val="009A26F3"/>
    <w:rsid w:val="009A301C"/>
    <w:rsid w:val="009A5C29"/>
    <w:rsid w:val="009A7DEB"/>
    <w:rsid w:val="009B012A"/>
    <w:rsid w:val="009B2BED"/>
    <w:rsid w:val="009B529F"/>
    <w:rsid w:val="009B56E1"/>
    <w:rsid w:val="009B5E1E"/>
    <w:rsid w:val="009B66F1"/>
    <w:rsid w:val="009B6B33"/>
    <w:rsid w:val="009C00B6"/>
    <w:rsid w:val="009C2515"/>
    <w:rsid w:val="009C5917"/>
    <w:rsid w:val="009C79C3"/>
    <w:rsid w:val="009C7CB5"/>
    <w:rsid w:val="009C7EE6"/>
    <w:rsid w:val="009D576E"/>
    <w:rsid w:val="009D5DDE"/>
    <w:rsid w:val="009E1A52"/>
    <w:rsid w:val="009E3B10"/>
    <w:rsid w:val="009E7CE6"/>
    <w:rsid w:val="009F00E9"/>
    <w:rsid w:val="009F2919"/>
    <w:rsid w:val="009F5788"/>
    <w:rsid w:val="009F5DDC"/>
    <w:rsid w:val="009F6A23"/>
    <w:rsid w:val="009F7122"/>
    <w:rsid w:val="009F7E94"/>
    <w:rsid w:val="009F7FD1"/>
    <w:rsid w:val="00A00720"/>
    <w:rsid w:val="00A02F97"/>
    <w:rsid w:val="00A03DBF"/>
    <w:rsid w:val="00A03F9D"/>
    <w:rsid w:val="00A0744A"/>
    <w:rsid w:val="00A075BC"/>
    <w:rsid w:val="00A100F7"/>
    <w:rsid w:val="00A10754"/>
    <w:rsid w:val="00A129CD"/>
    <w:rsid w:val="00A12A86"/>
    <w:rsid w:val="00A13423"/>
    <w:rsid w:val="00A168D5"/>
    <w:rsid w:val="00A21638"/>
    <w:rsid w:val="00A26CBA"/>
    <w:rsid w:val="00A309CF"/>
    <w:rsid w:val="00A30D14"/>
    <w:rsid w:val="00A31710"/>
    <w:rsid w:val="00A357A5"/>
    <w:rsid w:val="00A35C41"/>
    <w:rsid w:val="00A37659"/>
    <w:rsid w:val="00A40F1E"/>
    <w:rsid w:val="00A435C3"/>
    <w:rsid w:val="00A44AB9"/>
    <w:rsid w:val="00A46A5F"/>
    <w:rsid w:val="00A46FCF"/>
    <w:rsid w:val="00A51490"/>
    <w:rsid w:val="00A601EB"/>
    <w:rsid w:val="00A60C5B"/>
    <w:rsid w:val="00A6213B"/>
    <w:rsid w:val="00A63B40"/>
    <w:rsid w:val="00A66B8C"/>
    <w:rsid w:val="00A73EF2"/>
    <w:rsid w:val="00A746E4"/>
    <w:rsid w:val="00A753D5"/>
    <w:rsid w:val="00A75FCA"/>
    <w:rsid w:val="00A775CE"/>
    <w:rsid w:val="00A8270A"/>
    <w:rsid w:val="00A85970"/>
    <w:rsid w:val="00A90E92"/>
    <w:rsid w:val="00A91845"/>
    <w:rsid w:val="00A92830"/>
    <w:rsid w:val="00A94A56"/>
    <w:rsid w:val="00A95123"/>
    <w:rsid w:val="00A96ADB"/>
    <w:rsid w:val="00AA2106"/>
    <w:rsid w:val="00AA2802"/>
    <w:rsid w:val="00AA4AF5"/>
    <w:rsid w:val="00AA5BEF"/>
    <w:rsid w:val="00AA610B"/>
    <w:rsid w:val="00AA7280"/>
    <w:rsid w:val="00AB32C0"/>
    <w:rsid w:val="00AB34EA"/>
    <w:rsid w:val="00AB4C8C"/>
    <w:rsid w:val="00AB5C71"/>
    <w:rsid w:val="00AB7252"/>
    <w:rsid w:val="00AC3186"/>
    <w:rsid w:val="00AC35D1"/>
    <w:rsid w:val="00AC39E0"/>
    <w:rsid w:val="00AD0EF8"/>
    <w:rsid w:val="00AD3E56"/>
    <w:rsid w:val="00AD652E"/>
    <w:rsid w:val="00AD682A"/>
    <w:rsid w:val="00AD734F"/>
    <w:rsid w:val="00AE0867"/>
    <w:rsid w:val="00AE1400"/>
    <w:rsid w:val="00AE1B61"/>
    <w:rsid w:val="00AE31A4"/>
    <w:rsid w:val="00AE404C"/>
    <w:rsid w:val="00AE4CE0"/>
    <w:rsid w:val="00AF0EFC"/>
    <w:rsid w:val="00AF313A"/>
    <w:rsid w:val="00AF3A32"/>
    <w:rsid w:val="00AF3B80"/>
    <w:rsid w:val="00B03BEE"/>
    <w:rsid w:val="00B0452F"/>
    <w:rsid w:val="00B046D1"/>
    <w:rsid w:val="00B0526E"/>
    <w:rsid w:val="00B0534A"/>
    <w:rsid w:val="00B07727"/>
    <w:rsid w:val="00B111CA"/>
    <w:rsid w:val="00B11589"/>
    <w:rsid w:val="00B15667"/>
    <w:rsid w:val="00B173A9"/>
    <w:rsid w:val="00B17F9E"/>
    <w:rsid w:val="00B2200D"/>
    <w:rsid w:val="00B224CF"/>
    <w:rsid w:val="00B23BCC"/>
    <w:rsid w:val="00B24736"/>
    <w:rsid w:val="00B2583B"/>
    <w:rsid w:val="00B25E29"/>
    <w:rsid w:val="00B3224F"/>
    <w:rsid w:val="00B33E12"/>
    <w:rsid w:val="00B40F92"/>
    <w:rsid w:val="00B43FCE"/>
    <w:rsid w:val="00B44B50"/>
    <w:rsid w:val="00B4768A"/>
    <w:rsid w:val="00B5129C"/>
    <w:rsid w:val="00B51814"/>
    <w:rsid w:val="00B52443"/>
    <w:rsid w:val="00B537CD"/>
    <w:rsid w:val="00B548B2"/>
    <w:rsid w:val="00B55ACF"/>
    <w:rsid w:val="00B55CBD"/>
    <w:rsid w:val="00B6013F"/>
    <w:rsid w:val="00B60666"/>
    <w:rsid w:val="00B615A1"/>
    <w:rsid w:val="00B61BCB"/>
    <w:rsid w:val="00B62C02"/>
    <w:rsid w:val="00B66B38"/>
    <w:rsid w:val="00B67BC8"/>
    <w:rsid w:val="00B7208E"/>
    <w:rsid w:val="00B73AE7"/>
    <w:rsid w:val="00B7531D"/>
    <w:rsid w:val="00B7592D"/>
    <w:rsid w:val="00B8002C"/>
    <w:rsid w:val="00B80AD9"/>
    <w:rsid w:val="00B84433"/>
    <w:rsid w:val="00B84F12"/>
    <w:rsid w:val="00B8601A"/>
    <w:rsid w:val="00B861F6"/>
    <w:rsid w:val="00B8766D"/>
    <w:rsid w:val="00B931C3"/>
    <w:rsid w:val="00B968DC"/>
    <w:rsid w:val="00B969C0"/>
    <w:rsid w:val="00BA0BB3"/>
    <w:rsid w:val="00BA25E2"/>
    <w:rsid w:val="00BA4C46"/>
    <w:rsid w:val="00BA68CF"/>
    <w:rsid w:val="00BA7CB6"/>
    <w:rsid w:val="00BB164D"/>
    <w:rsid w:val="00BB46EF"/>
    <w:rsid w:val="00BB61FD"/>
    <w:rsid w:val="00BC054C"/>
    <w:rsid w:val="00BC06E8"/>
    <w:rsid w:val="00BC1984"/>
    <w:rsid w:val="00BC2044"/>
    <w:rsid w:val="00BC23DF"/>
    <w:rsid w:val="00BC2A4F"/>
    <w:rsid w:val="00BD0869"/>
    <w:rsid w:val="00BD132D"/>
    <w:rsid w:val="00BD2B2D"/>
    <w:rsid w:val="00BD368A"/>
    <w:rsid w:val="00BD6535"/>
    <w:rsid w:val="00BD691B"/>
    <w:rsid w:val="00BE0E28"/>
    <w:rsid w:val="00BE3A0A"/>
    <w:rsid w:val="00BF28DB"/>
    <w:rsid w:val="00BF3F6B"/>
    <w:rsid w:val="00BF400C"/>
    <w:rsid w:val="00BF48B2"/>
    <w:rsid w:val="00BF61C5"/>
    <w:rsid w:val="00BF7E85"/>
    <w:rsid w:val="00C000F5"/>
    <w:rsid w:val="00C11127"/>
    <w:rsid w:val="00C126E8"/>
    <w:rsid w:val="00C1273C"/>
    <w:rsid w:val="00C16146"/>
    <w:rsid w:val="00C175B5"/>
    <w:rsid w:val="00C17A2E"/>
    <w:rsid w:val="00C20416"/>
    <w:rsid w:val="00C20D26"/>
    <w:rsid w:val="00C21F8F"/>
    <w:rsid w:val="00C24108"/>
    <w:rsid w:val="00C24D7B"/>
    <w:rsid w:val="00C2552D"/>
    <w:rsid w:val="00C258FE"/>
    <w:rsid w:val="00C26906"/>
    <w:rsid w:val="00C34B1E"/>
    <w:rsid w:val="00C432DC"/>
    <w:rsid w:val="00C43915"/>
    <w:rsid w:val="00C43AD3"/>
    <w:rsid w:val="00C44EFC"/>
    <w:rsid w:val="00C45AE6"/>
    <w:rsid w:val="00C45CF7"/>
    <w:rsid w:val="00C501BD"/>
    <w:rsid w:val="00C523DC"/>
    <w:rsid w:val="00C53316"/>
    <w:rsid w:val="00C53FF5"/>
    <w:rsid w:val="00C60071"/>
    <w:rsid w:val="00C61516"/>
    <w:rsid w:val="00C625E6"/>
    <w:rsid w:val="00C64CA9"/>
    <w:rsid w:val="00C65B85"/>
    <w:rsid w:val="00C6601A"/>
    <w:rsid w:val="00C6725E"/>
    <w:rsid w:val="00C709F0"/>
    <w:rsid w:val="00C73AD2"/>
    <w:rsid w:val="00C77392"/>
    <w:rsid w:val="00C8100F"/>
    <w:rsid w:val="00C82C2F"/>
    <w:rsid w:val="00C83937"/>
    <w:rsid w:val="00C84301"/>
    <w:rsid w:val="00C84362"/>
    <w:rsid w:val="00C84379"/>
    <w:rsid w:val="00C852D2"/>
    <w:rsid w:val="00C86077"/>
    <w:rsid w:val="00C8659D"/>
    <w:rsid w:val="00C876D4"/>
    <w:rsid w:val="00C92D62"/>
    <w:rsid w:val="00C95859"/>
    <w:rsid w:val="00C95C1C"/>
    <w:rsid w:val="00C960FE"/>
    <w:rsid w:val="00C971DA"/>
    <w:rsid w:val="00CA083A"/>
    <w:rsid w:val="00CA31A8"/>
    <w:rsid w:val="00CA39E4"/>
    <w:rsid w:val="00CA5C30"/>
    <w:rsid w:val="00CA7C71"/>
    <w:rsid w:val="00CB1CB5"/>
    <w:rsid w:val="00CB3229"/>
    <w:rsid w:val="00CB555E"/>
    <w:rsid w:val="00CB7363"/>
    <w:rsid w:val="00CC6472"/>
    <w:rsid w:val="00CC7355"/>
    <w:rsid w:val="00CC7F10"/>
    <w:rsid w:val="00CC7F67"/>
    <w:rsid w:val="00CD0040"/>
    <w:rsid w:val="00CD0DEC"/>
    <w:rsid w:val="00CD1623"/>
    <w:rsid w:val="00CD3024"/>
    <w:rsid w:val="00CD5995"/>
    <w:rsid w:val="00CD5A44"/>
    <w:rsid w:val="00CD5E92"/>
    <w:rsid w:val="00CD7D72"/>
    <w:rsid w:val="00CE1322"/>
    <w:rsid w:val="00CE352A"/>
    <w:rsid w:val="00CE4305"/>
    <w:rsid w:val="00CE4A45"/>
    <w:rsid w:val="00CE7261"/>
    <w:rsid w:val="00CE7680"/>
    <w:rsid w:val="00CF13B8"/>
    <w:rsid w:val="00CF1547"/>
    <w:rsid w:val="00CF48AB"/>
    <w:rsid w:val="00CF5EFB"/>
    <w:rsid w:val="00CF62C0"/>
    <w:rsid w:val="00D03358"/>
    <w:rsid w:val="00D052AD"/>
    <w:rsid w:val="00D055BA"/>
    <w:rsid w:val="00D129C2"/>
    <w:rsid w:val="00D13890"/>
    <w:rsid w:val="00D14880"/>
    <w:rsid w:val="00D20C81"/>
    <w:rsid w:val="00D21C3A"/>
    <w:rsid w:val="00D255F5"/>
    <w:rsid w:val="00D303C8"/>
    <w:rsid w:val="00D30E5A"/>
    <w:rsid w:val="00D31A08"/>
    <w:rsid w:val="00D34029"/>
    <w:rsid w:val="00D34A40"/>
    <w:rsid w:val="00D373CC"/>
    <w:rsid w:val="00D45747"/>
    <w:rsid w:val="00D4577F"/>
    <w:rsid w:val="00D46151"/>
    <w:rsid w:val="00D47221"/>
    <w:rsid w:val="00D509D4"/>
    <w:rsid w:val="00D51EF0"/>
    <w:rsid w:val="00D5285D"/>
    <w:rsid w:val="00D53A2D"/>
    <w:rsid w:val="00D5424D"/>
    <w:rsid w:val="00D56087"/>
    <w:rsid w:val="00D60241"/>
    <w:rsid w:val="00D60B63"/>
    <w:rsid w:val="00D6190F"/>
    <w:rsid w:val="00D625F8"/>
    <w:rsid w:val="00D6301E"/>
    <w:rsid w:val="00D63DCE"/>
    <w:rsid w:val="00D64B08"/>
    <w:rsid w:val="00D64B15"/>
    <w:rsid w:val="00D64B94"/>
    <w:rsid w:val="00D65993"/>
    <w:rsid w:val="00D65BE5"/>
    <w:rsid w:val="00D70653"/>
    <w:rsid w:val="00D71595"/>
    <w:rsid w:val="00D72193"/>
    <w:rsid w:val="00D7259A"/>
    <w:rsid w:val="00D75CEA"/>
    <w:rsid w:val="00D76B4C"/>
    <w:rsid w:val="00D8017E"/>
    <w:rsid w:val="00D81066"/>
    <w:rsid w:val="00D819FB"/>
    <w:rsid w:val="00D867BB"/>
    <w:rsid w:val="00D86A1F"/>
    <w:rsid w:val="00D900F4"/>
    <w:rsid w:val="00D960F7"/>
    <w:rsid w:val="00D9625D"/>
    <w:rsid w:val="00D978BD"/>
    <w:rsid w:val="00DA0358"/>
    <w:rsid w:val="00DA07F0"/>
    <w:rsid w:val="00DA40E8"/>
    <w:rsid w:val="00DB3DCA"/>
    <w:rsid w:val="00DB4D53"/>
    <w:rsid w:val="00DB72FB"/>
    <w:rsid w:val="00DB777A"/>
    <w:rsid w:val="00DB7900"/>
    <w:rsid w:val="00DB7EEE"/>
    <w:rsid w:val="00DC3D8B"/>
    <w:rsid w:val="00DC68EF"/>
    <w:rsid w:val="00DD157D"/>
    <w:rsid w:val="00DD261F"/>
    <w:rsid w:val="00DD5728"/>
    <w:rsid w:val="00DE0039"/>
    <w:rsid w:val="00DE03D6"/>
    <w:rsid w:val="00DE0A8D"/>
    <w:rsid w:val="00DE5D8F"/>
    <w:rsid w:val="00DE6552"/>
    <w:rsid w:val="00DE7EC4"/>
    <w:rsid w:val="00DF1FD8"/>
    <w:rsid w:val="00DF2B86"/>
    <w:rsid w:val="00DF5070"/>
    <w:rsid w:val="00DF7546"/>
    <w:rsid w:val="00E01A39"/>
    <w:rsid w:val="00E02DEB"/>
    <w:rsid w:val="00E03581"/>
    <w:rsid w:val="00E044CE"/>
    <w:rsid w:val="00E06292"/>
    <w:rsid w:val="00E06C34"/>
    <w:rsid w:val="00E07B09"/>
    <w:rsid w:val="00E1139D"/>
    <w:rsid w:val="00E115A3"/>
    <w:rsid w:val="00E1549B"/>
    <w:rsid w:val="00E17E61"/>
    <w:rsid w:val="00E22421"/>
    <w:rsid w:val="00E234E4"/>
    <w:rsid w:val="00E25AB7"/>
    <w:rsid w:val="00E3397E"/>
    <w:rsid w:val="00E36E39"/>
    <w:rsid w:val="00E40263"/>
    <w:rsid w:val="00E427F2"/>
    <w:rsid w:val="00E42D23"/>
    <w:rsid w:val="00E4386A"/>
    <w:rsid w:val="00E46597"/>
    <w:rsid w:val="00E513B8"/>
    <w:rsid w:val="00E56488"/>
    <w:rsid w:val="00E63267"/>
    <w:rsid w:val="00E64A5F"/>
    <w:rsid w:val="00E65D69"/>
    <w:rsid w:val="00E66D34"/>
    <w:rsid w:val="00E71372"/>
    <w:rsid w:val="00E71470"/>
    <w:rsid w:val="00E72946"/>
    <w:rsid w:val="00E7671F"/>
    <w:rsid w:val="00E76C30"/>
    <w:rsid w:val="00E80776"/>
    <w:rsid w:val="00E83348"/>
    <w:rsid w:val="00E84F89"/>
    <w:rsid w:val="00E852DD"/>
    <w:rsid w:val="00E87A30"/>
    <w:rsid w:val="00E90D82"/>
    <w:rsid w:val="00E92AD5"/>
    <w:rsid w:val="00EA0103"/>
    <w:rsid w:val="00EA057B"/>
    <w:rsid w:val="00EA05EE"/>
    <w:rsid w:val="00EA1353"/>
    <w:rsid w:val="00EA1D2D"/>
    <w:rsid w:val="00EA38E7"/>
    <w:rsid w:val="00EA3DE9"/>
    <w:rsid w:val="00EA5471"/>
    <w:rsid w:val="00EA59E6"/>
    <w:rsid w:val="00EA5AA1"/>
    <w:rsid w:val="00EA6F78"/>
    <w:rsid w:val="00EB0730"/>
    <w:rsid w:val="00EB3134"/>
    <w:rsid w:val="00EB6167"/>
    <w:rsid w:val="00EB7D88"/>
    <w:rsid w:val="00EC1335"/>
    <w:rsid w:val="00EC1EC3"/>
    <w:rsid w:val="00EC3E02"/>
    <w:rsid w:val="00EC54DD"/>
    <w:rsid w:val="00ED48A5"/>
    <w:rsid w:val="00ED5992"/>
    <w:rsid w:val="00EE2773"/>
    <w:rsid w:val="00EE3F4B"/>
    <w:rsid w:val="00EE4A91"/>
    <w:rsid w:val="00EE4D02"/>
    <w:rsid w:val="00EF0696"/>
    <w:rsid w:val="00EF0AF1"/>
    <w:rsid w:val="00EF244E"/>
    <w:rsid w:val="00EF3B55"/>
    <w:rsid w:val="00EF62C4"/>
    <w:rsid w:val="00EF68F8"/>
    <w:rsid w:val="00EF6FDF"/>
    <w:rsid w:val="00F0033D"/>
    <w:rsid w:val="00F0200E"/>
    <w:rsid w:val="00F04FC0"/>
    <w:rsid w:val="00F14854"/>
    <w:rsid w:val="00F17146"/>
    <w:rsid w:val="00F24C94"/>
    <w:rsid w:val="00F273BC"/>
    <w:rsid w:val="00F3049E"/>
    <w:rsid w:val="00F30933"/>
    <w:rsid w:val="00F31F51"/>
    <w:rsid w:val="00F33188"/>
    <w:rsid w:val="00F33FE1"/>
    <w:rsid w:val="00F356E6"/>
    <w:rsid w:val="00F41D20"/>
    <w:rsid w:val="00F4222C"/>
    <w:rsid w:val="00F423D1"/>
    <w:rsid w:val="00F44A60"/>
    <w:rsid w:val="00F51E48"/>
    <w:rsid w:val="00F51FC9"/>
    <w:rsid w:val="00F521AF"/>
    <w:rsid w:val="00F531AC"/>
    <w:rsid w:val="00F558F8"/>
    <w:rsid w:val="00F55C52"/>
    <w:rsid w:val="00F61547"/>
    <w:rsid w:val="00F61587"/>
    <w:rsid w:val="00F6575B"/>
    <w:rsid w:val="00F67454"/>
    <w:rsid w:val="00F67DC6"/>
    <w:rsid w:val="00F67F41"/>
    <w:rsid w:val="00F71856"/>
    <w:rsid w:val="00F72D43"/>
    <w:rsid w:val="00F74358"/>
    <w:rsid w:val="00F75709"/>
    <w:rsid w:val="00F7599A"/>
    <w:rsid w:val="00F773A3"/>
    <w:rsid w:val="00F807AA"/>
    <w:rsid w:val="00F81FED"/>
    <w:rsid w:val="00F83ABE"/>
    <w:rsid w:val="00F847BF"/>
    <w:rsid w:val="00F85568"/>
    <w:rsid w:val="00F856ED"/>
    <w:rsid w:val="00F866B1"/>
    <w:rsid w:val="00F9029F"/>
    <w:rsid w:val="00F906EB"/>
    <w:rsid w:val="00F90D96"/>
    <w:rsid w:val="00F943D5"/>
    <w:rsid w:val="00F94C20"/>
    <w:rsid w:val="00FA12AC"/>
    <w:rsid w:val="00FA6D86"/>
    <w:rsid w:val="00FB4A54"/>
    <w:rsid w:val="00FB4BDD"/>
    <w:rsid w:val="00FB60B4"/>
    <w:rsid w:val="00FC0F20"/>
    <w:rsid w:val="00FC3188"/>
    <w:rsid w:val="00FC6093"/>
    <w:rsid w:val="00FC717E"/>
    <w:rsid w:val="00FD06C4"/>
    <w:rsid w:val="00FD073C"/>
    <w:rsid w:val="00FD2736"/>
    <w:rsid w:val="00FD294C"/>
    <w:rsid w:val="00FD6210"/>
    <w:rsid w:val="00FE03BE"/>
    <w:rsid w:val="00FE3537"/>
    <w:rsid w:val="00FE51B0"/>
    <w:rsid w:val="00FF175E"/>
    <w:rsid w:val="00FF73A9"/>
    <w:rsid w:val="00FF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4777F"/>
  <w15:docId w15:val="{A3A0BFC9-A9EE-4088-90A4-55DC1018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77"/>
    <w:pPr>
      <w:spacing w:after="0" w:line="240" w:lineRule="auto"/>
    </w:pPr>
    <w:rPr>
      <w:rFonts w:ascii="Times New Roman" w:hAnsi="Times New Roman"/>
      <w:sz w:val="28"/>
      <w:szCs w:val="24"/>
    </w:rPr>
  </w:style>
  <w:style w:type="paragraph" w:styleId="Heading1">
    <w:name w:val="heading 1"/>
    <w:basedOn w:val="Normal"/>
    <w:next w:val="Normal"/>
    <w:link w:val="Heading1Char"/>
    <w:uiPriority w:val="9"/>
    <w:qFormat/>
    <w:rsid w:val="009D5DDE"/>
    <w:pPr>
      <w:keepNext/>
      <w:keepLines/>
      <w:spacing w:before="120" w:after="120"/>
      <w:outlineLvl w:val="0"/>
    </w:pPr>
    <w:rPr>
      <w:rFonts w:eastAsiaTheme="majorEastAsia" w:cstheme="majorBidi"/>
      <w:b/>
      <w:szCs w:val="32"/>
    </w:rPr>
  </w:style>
  <w:style w:type="paragraph" w:styleId="Heading2">
    <w:name w:val="heading 2"/>
    <w:basedOn w:val="Normal"/>
    <w:next w:val="Normal"/>
    <w:link w:val="Heading2Char"/>
    <w:qFormat/>
    <w:rsid w:val="00B969C0"/>
    <w:pPr>
      <w:keepNext/>
      <w:keepLines/>
      <w:spacing w:before="120" w:after="120"/>
      <w:outlineLvl w:val="1"/>
    </w:pPr>
    <w:rPr>
      <w:rFonts w:eastAsia="Trebuchet MS" w:cs="Trebuchet MS"/>
      <w:color w:val="000000"/>
      <w:szCs w:val="20"/>
    </w:rPr>
  </w:style>
  <w:style w:type="paragraph" w:styleId="Heading4">
    <w:name w:val="heading 4"/>
    <w:basedOn w:val="Normal"/>
    <w:next w:val="Normal"/>
    <w:link w:val="Heading4Char"/>
    <w:uiPriority w:val="9"/>
    <w:semiHidden/>
    <w:unhideWhenUsed/>
    <w:qFormat/>
    <w:rsid w:val="004B5A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6B7A"/>
    <w:pPr>
      <w:spacing w:after="0" w:line="276" w:lineRule="auto"/>
    </w:pPr>
    <w:rPr>
      <w:rFonts w:ascii="Arial" w:eastAsia="Arial" w:hAnsi="Arial" w:cs="Arial"/>
      <w:color w:val="000000"/>
      <w:szCs w:val="20"/>
    </w:rPr>
  </w:style>
  <w:style w:type="character" w:customStyle="1" w:styleId="Heading2Char">
    <w:name w:val="Heading 2 Char"/>
    <w:basedOn w:val="DefaultParagraphFont"/>
    <w:link w:val="Heading2"/>
    <w:rsid w:val="00B969C0"/>
    <w:rPr>
      <w:rFonts w:ascii="Times New Roman" w:eastAsia="Trebuchet MS" w:hAnsi="Times New Roman" w:cs="Trebuchet MS"/>
      <w:color w:val="000000"/>
      <w:sz w:val="28"/>
      <w:szCs w:val="20"/>
    </w:rPr>
  </w:style>
  <w:style w:type="table" w:styleId="TableGrid">
    <w:name w:val="Table Grid"/>
    <w:basedOn w:val="TableNormal"/>
    <w:uiPriority w:val="59"/>
    <w:rsid w:val="00986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B7A"/>
    <w:rPr>
      <w:color w:val="0563C1" w:themeColor="hyperlink"/>
      <w:u w:val="single"/>
    </w:rPr>
  </w:style>
  <w:style w:type="character" w:customStyle="1" w:styleId="UnresolvedMention1">
    <w:name w:val="Unresolved Mention1"/>
    <w:basedOn w:val="DefaultParagraphFont"/>
    <w:uiPriority w:val="99"/>
    <w:semiHidden/>
    <w:unhideWhenUsed/>
    <w:rsid w:val="00986B7A"/>
    <w:rPr>
      <w:color w:val="605E5C"/>
      <w:shd w:val="clear" w:color="auto" w:fill="E1DFDD"/>
    </w:rPr>
  </w:style>
  <w:style w:type="paragraph" w:styleId="ListParagraph">
    <w:name w:val="List Paragraph"/>
    <w:basedOn w:val="Normal"/>
    <w:uiPriority w:val="34"/>
    <w:qFormat/>
    <w:rsid w:val="00E25AB7"/>
    <w:pPr>
      <w:ind w:left="720"/>
      <w:contextualSpacing/>
    </w:pPr>
  </w:style>
  <w:style w:type="paragraph" w:styleId="NormalWeb">
    <w:name w:val="Normal (Web)"/>
    <w:basedOn w:val="Normal"/>
    <w:uiPriority w:val="99"/>
    <w:semiHidden/>
    <w:unhideWhenUsed/>
    <w:rsid w:val="00F9029F"/>
    <w:rPr>
      <w:rFonts w:cs="Times New Roman"/>
    </w:rPr>
  </w:style>
  <w:style w:type="paragraph" w:customStyle="1" w:styleId="Default">
    <w:name w:val="Default"/>
    <w:rsid w:val="00F902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UnresolvedMention2">
    <w:name w:val="Unresolved Mention2"/>
    <w:basedOn w:val="DefaultParagraphFont"/>
    <w:uiPriority w:val="99"/>
    <w:semiHidden/>
    <w:unhideWhenUsed/>
    <w:rsid w:val="007B57B2"/>
    <w:rPr>
      <w:color w:val="605E5C"/>
      <w:shd w:val="clear" w:color="auto" w:fill="E1DFDD"/>
    </w:rPr>
  </w:style>
  <w:style w:type="paragraph" w:styleId="Header">
    <w:name w:val="header"/>
    <w:basedOn w:val="Normal"/>
    <w:link w:val="HeaderChar"/>
    <w:uiPriority w:val="99"/>
    <w:unhideWhenUsed/>
    <w:rsid w:val="00817E2A"/>
    <w:pPr>
      <w:tabs>
        <w:tab w:val="center" w:pos="4680"/>
        <w:tab w:val="right" w:pos="9360"/>
      </w:tabs>
    </w:pPr>
  </w:style>
  <w:style w:type="character" w:customStyle="1" w:styleId="HeaderChar">
    <w:name w:val="Header Char"/>
    <w:basedOn w:val="DefaultParagraphFont"/>
    <w:link w:val="Header"/>
    <w:uiPriority w:val="99"/>
    <w:rsid w:val="00817E2A"/>
    <w:rPr>
      <w:sz w:val="24"/>
      <w:szCs w:val="24"/>
    </w:rPr>
  </w:style>
  <w:style w:type="paragraph" w:styleId="Footer">
    <w:name w:val="footer"/>
    <w:basedOn w:val="Normal"/>
    <w:link w:val="FooterChar"/>
    <w:uiPriority w:val="99"/>
    <w:unhideWhenUsed/>
    <w:rsid w:val="00817E2A"/>
    <w:pPr>
      <w:tabs>
        <w:tab w:val="center" w:pos="4680"/>
        <w:tab w:val="right" w:pos="9360"/>
      </w:tabs>
    </w:pPr>
  </w:style>
  <w:style w:type="character" w:customStyle="1" w:styleId="FooterChar">
    <w:name w:val="Footer Char"/>
    <w:basedOn w:val="DefaultParagraphFont"/>
    <w:link w:val="Footer"/>
    <w:uiPriority w:val="99"/>
    <w:rsid w:val="00817E2A"/>
    <w:rPr>
      <w:sz w:val="24"/>
      <w:szCs w:val="24"/>
    </w:rPr>
  </w:style>
  <w:style w:type="character" w:customStyle="1" w:styleId="Heading4Char">
    <w:name w:val="Heading 4 Char"/>
    <w:basedOn w:val="DefaultParagraphFont"/>
    <w:link w:val="Heading4"/>
    <w:uiPriority w:val="9"/>
    <w:semiHidden/>
    <w:rsid w:val="004B5AC2"/>
    <w:rPr>
      <w:rFonts w:asciiTheme="majorHAnsi" w:eastAsiaTheme="majorEastAsia" w:hAnsiTheme="majorHAnsi" w:cstheme="majorBidi"/>
      <w:i/>
      <w:iCs/>
      <w:color w:val="2F5496" w:themeColor="accent1" w:themeShade="BF"/>
      <w:sz w:val="24"/>
      <w:szCs w:val="24"/>
    </w:rPr>
  </w:style>
  <w:style w:type="paragraph" w:customStyle="1" w:styleId="CM26">
    <w:name w:val="CM26"/>
    <w:basedOn w:val="Normal"/>
    <w:next w:val="Normal"/>
    <w:uiPriority w:val="99"/>
    <w:rsid w:val="002133A0"/>
    <w:pPr>
      <w:widowControl w:val="0"/>
      <w:autoSpaceDE w:val="0"/>
      <w:autoSpaceDN w:val="0"/>
      <w:adjustRightInd w:val="0"/>
      <w:spacing w:after="78"/>
    </w:pPr>
    <w:rPr>
      <w:rFonts w:eastAsia="Times New Roman" w:cs="Times New Roman"/>
      <w:lang w:val="en-AU" w:eastAsia="en-AU"/>
    </w:rPr>
  </w:style>
  <w:style w:type="paragraph" w:styleId="FootnoteText">
    <w:name w:val="footnote text"/>
    <w:basedOn w:val="Normal"/>
    <w:link w:val="FootnoteTextChar"/>
    <w:unhideWhenUsed/>
    <w:rsid w:val="00201698"/>
    <w:rPr>
      <w:rFonts w:eastAsia="Times New Roman" w:cs="Times New Roman"/>
      <w:sz w:val="20"/>
      <w:szCs w:val="20"/>
    </w:rPr>
  </w:style>
  <w:style w:type="character" w:customStyle="1" w:styleId="FootnoteTextChar">
    <w:name w:val="Footnote Text Char"/>
    <w:basedOn w:val="DefaultParagraphFont"/>
    <w:link w:val="FootnoteText"/>
    <w:rsid w:val="00201698"/>
    <w:rPr>
      <w:rFonts w:ascii="Times New Roman" w:eastAsia="Times New Roman" w:hAnsi="Times New Roman" w:cs="Times New Roman"/>
      <w:sz w:val="20"/>
      <w:szCs w:val="20"/>
    </w:rPr>
  </w:style>
  <w:style w:type="character" w:styleId="FootnoteReference">
    <w:name w:val="footnote reference"/>
    <w:unhideWhenUsed/>
    <w:rsid w:val="00201698"/>
    <w:rPr>
      <w:vertAlign w:val="superscript"/>
    </w:rPr>
  </w:style>
  <w:style w:type="paragraph" w:styleId="Revision">
    <w:name w:val="Revision"/>
    <w:hidden/>
    <w:uiPriority w:val="99"/>
    <w:semiHidden/>
    <w:rsid w:val="00881270"/>
    <w:pPr>
      <w:spacing w:after="0" w:line="240" w:lineRule="auto"/>
    </w:pPr>
    <w:rPr>
      <w:sz w:val="24"/>
      <w:szCs w:val="24"/>
    </w:rPr>
  </w:style>
  <w:style w:type="character" w:customStyle="1" w:styleId="Heading1Char">
    <w:name w:val="Heading 1 Char"/>
    <w:basedOn w:val="DefaultParagraphFont"/>
    <w:link w:val="Heading1"/>
    <w:uiPriority w:val="9"/>
    <w:rsid w:val="009D5DDE"/>
    <w:rPr>
      <w:rFonts w:ascii="Times New Roman" w:eastAsiaTheme="majorEastAsia" w:hAnsi="Times New Roman" w:cstheme="majorBidi"/>
      <w:b/>
      <w:sz w:val="28"/>
      <w:szCs w:val="32"/>
    </w:rPr>
  </w:style>
  <w:style w:type="character" w:customStyle="1" w:styleId="fontstyle21">
    <w:name w:val="fontstyle21"/>
    <w:basedOn w:val="DefaultParagraphFont"/>
    <w:rsid w:val="006A5260"/>
    <w:rPr>
      <w:rFonts w:ascii="TimesNewRomanPSMT" w:hAnsi="TimesNewRomanPSMT" w:hint="default"/>
      <w:b w:val="0"/>
      <w:bCs w:val="0"/>
      <w:i w:val="0"/>
      <w:iCs w:val="0"/>
      <w:color w:val="000000"/>
      <w:sz w:val="18"/>
      <w:szCs w:val="18"/>
    </w:rPr>
  </w:style>
  <w:style w:type="paragraph" w:styleId="BalloonText">
    <w:name w:val="Balloon Text"/>
    <w:basedOn w:val="Normal"/>
    <w:link w:val="BalloonTextChar"/>
    <w:uiPriority w:val="99"/>
    <w:semiHidden/>
    <w:unhideWhenUsed/>
    <w:rsid w:val="003C1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E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96A6B"/>
    <w:rPr>
      <w:color w:val="605E5C"/>
      <w:shd w:val="clear" w:color="auto" w:fill="E1DFDD"/>
    </w:rPr>
  </w:style>
  <w:style w:type="character" w:styleId="CommentReference">
    <w:name w:val="annotation reference"/>
    <w:basedOn w:val="DefaultParagraphFont"/>
    <w:uiPriority w:val="99"/>
    <w:semiHidden/>
    <w:unhideWhenUsed/>
    <w:rsid w:val="00DD261F"/>
    <w:rPr>
      <w:sz w:val="16"/>
      <w:szCs w:val="16"/>
    </w:rPr>
  </w:style>
  <w:style w:type="paragraph" w:styleId="CommentText">
    <w:name w:val="annotation text"/>
    <w:basedOn w:val="Normal"/>
    <w:link w:val="CommentTextChar"/>
    <w:uiPriority w:val="99"/>
    <w:semiHidden/>
    <w:unhideWhenUsed/>
    <w:rsid w:val="00DD261F"/>
    <w:rPr>
      <w:sz w:val="20"/>
      <w:szCs w:val="20"/>
    </w:rPr>
  </w:style>
  <w:style w:type="character" w:customStyle="1" w:styleId="CommentTextChar">
    <w:name w:val="Comment Text Char"/>
    <w:basedOn w:val="DefaultParagraphFont"/>
    <w:link w:val="CommentText"/>
    <w:uiPriority w:val="99"/>
    <w:semiHidden/>
    <w:rsid w:val="00DD26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261F"/>
    <w:rPr>
      <w:b/>
      <w:bCs/>
    </w:rPr>
  </w:style>
  <w:style w:type="character" w:customStyle="1" w:styleId="CommentSubjectChar">
    <w:name w:val="Comment Subject Char"/>
    <w:basedOn w:val="CommentTextChar"/>
    <w:link w:val="CommentSubject"/>
    <w:uiPriority w:val="99"/>
    <w:semiHidden/>
    <w:rsid w:val="00DD261F"/>
    <w:rPr>
      <w:rFonts w:ascii="Times New Roman" w:hAnsi="Times New Roman"/>
      <w:b/>
      <w:bCs/>
      <w:sz w:val="20"/>
      <w:szCs w:val="20"/>
    </w:rPr>
  </w:style>
  <w:style w:type="paragraph" w:customStyle="1" w:styleId="Normal2">
    <w:name w:val="Normal2"/>
    <w:rsid w:val="00B60666"/>
    <w:pPr>
      <w:spacing w:after="0" w:line="276" w:lineRule="auto"/>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8054">
      <w:bodyDiv w:val="1"/>
      <w:marLeft w:val="0"/>
      <w:marRight w:val="0"/>
      <w:marTop w:val="0"/>
      <w:marBottom w:val="0"/>
      <w:divBdr>
        <w:top w:val="none" w:sz="0" w:space="0" w:color="auto"/>
        <w:left w:val="none" w:sz="0" w:space="0" w:color="auto"/>
        <w:bottom w:val="none" w:sz="0" w:space="0" w:color="auto"/>
        <w:right w:val="none" w:sz="0" w:space="0" w:color="auto"/>
      </w:divBdr>
    </w:div>
    <w:div w:id="373889209">
      <w:bodyDiv w:val="1"/>
      <w:marLeft w:val="0"/>
      <w:marRight w:val="0"/>
      <w:marTop w:val="0"/>
      <w:marBottom w:val="0"/>
      <w:divBdr>
        <w:top w:val="none" w:sz="0" w:space="0" w:color="auto"/>
        <w:left w:val="none" w:sz="0" w:space="0" w:color="auto"/>
        <w:bottom w:val="none" w:sz="0" w:space="0" w:color="auto"/>
        <w:right w:val="none" w:sz="0" w:space="0" w:color="auto"/>
      </w:divBdr>
    </w:div>
    <w:div w:id="445586800">
      <w:bodyDiv w:val="1"/>
      <w:marLeft w:val="0"/>
      <w:marRight w:val="0"/>
      <w:marTop w:val="0"/>
      <w:marBottom w:val="0"/>
      <w:divBdr>
        <w:top w:val="none" w:sz="0" w:space="0" w:color="auto"/>
        <w:left w:val="none" w:sz="0" w:space="0" w:color="auto"/>
        <w:bottom w:val="none" w:sz="0" w:space="0" w:color="auto"/>
        <w:right w:val="none" w:sz="0" w:space="0" w:color="auto"/>
      </w:divBdr>
    </w:div>
    <w:div w:id="486090628">
      <w:bodyDiv w:val="1"/>
      <w:marLeft w:val="0"/>
      <w:marRight w:val="0"/>
      <w:marTop w:val="0"/>
      <w:marBottom w:val="0"/>
      <w:divBdr>
        <w:top w:val="none" w:sz="0" w:space="0" w:color="auto"/>
        <w:left w:val="none" w:sz="0" w:space="0" w:color="auto"/>
        <w:bottom w:val="none" w:sz="0" w:space="0" w:color="auto"/>
        <w:right w:val="none" w:sz="0" w:space="0" w:color="auto"/>
      </w:divBdr>
    </w:div>
    <w:div w:id="555436078">
      <w:bodyDiv w:val="1"/>
      <w:marLeft w:val="0"/>
      <w:marRight w:val="0"/>
      <w:marTop w:val="0"/>
      <w:marBottom w:val="0"/>
      <w:divBdr>
        <w:top w:val="none" w:sz="0" w:space="0" w:color="auto"/>
        <w:left w:val="none" w:sz="0" w:space="0" w:color="auto"/>
        <w:bottom w:val="none" w:sz="0" w:space="0" w:color="auto"/>
        <w:right w:val="none" w:sz="0" w:space="0" w:color="auto"/>
      </w:divBdr>
    </w:div>
    <w:div w:id="586156347">
      <w:bodyDiv w:val="1"/>
      <w:marLeft w:val="0"/>
      <w:marRight w:val="0"/>
      <w:marTop w:val="0"/>
      <w:marBottom w:val="0"/>
      <w:divBdr>
        <w:top w:val="none" w:sz="0" w:space="0" w:color="auto"/>
        <w:left w:val="none" w:sz="0" w:space="0" w:color="auto"/>
        <w:bottom w:val="none" w:sz="0" w:space="0" w:color="auto"/>
        <w:right w:val="none" w:sz="0" w:space="0" w:color="auto"/>
      </w:divBdr>
    </w:div>
    <w:div w:id="592277957">
      <w:bodyDiv w:val="1"/>
      <w:marLeft w:val="0"/>
      <w:marRight w:val="0"/>
      <w:marTop w:val="0"/>
      <w:marBottom w:val="0"/>
      <w:divBdr>
        <w:top w:val="none" w:sz="0" w:space="0" w:color="auto"/>
        <w:left w:val="none" w:sz="0" w:space="0" w:color="auto"/>
        <w:bottom w:val="none" w:sz="0" w:space="0" w:color="auto"/>
        <w:right w:val="none" w:sz="0" w:space="0" w:color="auto"/>
      </w:divBdr>
    </w:div>
    <w:div w:id="620232909">
      <w:bodyDiv w:val="1"/>
      <w:marLeft w:val="0"/>
      <w:marRight w:val="0"/>
      <w:marTop w:val="0"/>
      <w:marBottom w:val="0"/>
      <w:divBdr>
        <w:top w:val="none" w:sz="0" w:space="0" w:color="auto"/>
        <w:left w:val="none" w:sz="0" w:space="0" w:color="auto"/>
        <w:bottom w:val="none" w:sz="0" w:space="0" w:color="auto"/>
        <w:right w:val="none" w:sz="0" w:space="0" w:color="auto"/>
      </w:divBdr>
    </w:div>
    <w:div w:id="741758723">
      <w:bodyDiv w:val="1"/>
      <w:marLeft w:val="0"/>
      <w:marRight w:val="0"/>
      <w:marTop w:val="0"/>
      <w:marBottom w:val="0"/>
      <w:divBdr>
        <w:top w:val="none" w:sz="0" w:space="0" w:color="auto"/>
        <w:left w:val="none" w:sz="0" w:space="0" w:color="auto"/>
        <w:bottom w:val="none" w:sz="0" w:space="0" w:color="auto"/>
        <w:right w:val="none" w:sz="0" w:space="0" w:color="auto"/>
      </w:divBdr>
    </w:div>
    <w:div w:id="750615138">
      <w:bodyDiv w:val="1"/>
      <w:marLeft w:val="0"/>
      <w:marRight w:val="0"/>
      <w:marTop w:val="0"/>
      <w:marBottom w:val="0"/>
      <w:divBdr>
        <w:top w:val="none" w:sz="0" w:space="0" w:color="auto"/>
        <w:left w:val="none" w:sz="0" w:space="0" w:color="auto"/>
        <w:bottom w:val="none" w:sz="0" w:space="0" w:color="auto"/>
        <w:right w:val="none" w:sz="0" w:space="0" w:color="auto"/>
      </w:divBdr>
    </w:div>
    <w:div w:id="755709627">
      <w:bodyDiv w:val="1"/>
      <w:marLeft w:val="0"/>
      <w:marRight w:val="0"/>
      <w:marTop w:val="0"/>
      <w:marBottom w:val="0"/>
      <w:divBdr>
        <w:top w:val="none" w:sz="0" w:space="0" w:color="auto"/>
        <w:left w:val="none" w:sz="0" w:space="0" w:color="auto"/>
        <w:bottom w:val="none" w:sz="0" w:space="0" w:color="auto"/>
        <w:right w:val="none" w:sz="0" w:space="0" w:color="auto"/>
      </w:divBdr>
    </w:div>
    <w:div w:id="771783868">
      <w:bodyDiv w:val="1"/>
      <w:marLeft w:val="0"/>
      <w:marRight w:val="0"/>
      <w:marTop w:val="0"/>
      <w:marBottom w:val="0"/>
      <w:divBdr>
        <w:top w:val="none" w:sz="0" w:space="0" w:color="auto"/>
        <w:left w:val="none" w:sz="0" w:space="0" w:color="auto"/>
        <w:bottom w:val="none" w:sz="0" w:space="0" w:color="auto"/>
        <w:right w:val="none" w:sz="0" w:space="0" w:color="auto"/>
      </w:divBdr>
    </w:div>
    <w:div w:id="773595953">
      <w:bodyDiv w:val="1"/>
      <w:marLeft w:val="0"/>
      <w:marRight w:val="0"/>
      <w:marTop w:val="0"/>
      <w:marBottom w:val="0"/>
      <w:divBdr>
        <w:top w:val="none" w:sz="0" w:space="0" w:color="auto"/>
        <w:left w:val="none" w:sz="0" w:space="0" w:color="auto"/>
        <w:bottom w:val="none" w:sz="0" w:space="0" w:color="auto"/>
        <w:right w:val="none" w:sz="0" w:space="0" w:color="auto"/>
      </w:divBdr>
    </w:div>
    <w:div w:id="775370463">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5681230">
      <w:bodyDiv w:val="1"/>
      <w:marLeft w:val="0"/>
      <w:marRight w:val="0"/>
      <w:marTop w:val="0"/>
      <w:marBottom w:val="0"/>
      <w:divBdr>
        <w:top w:val="none" w:sz="0" w:space="0" w:color="auto"/>
        <w:left w:val="none" w:sz="0" w:space="0" w:color="auto"/>
        <w:bottom w:val="none" w:sz="0" w:space="0" w:color="auto"/>
        <w:right w:val="none" w:sz="0" w:space="0" w:color="auto"/>
      </w:divBdr>
    </w:div>
    <w:div w:id="936526343">
      <w:bodyDiv w:val="1"/>
      <w:marLeft w:val="0"/>
      <w:marRight w:val="0"/>
      <w:marTop w:val="0"/>
      <w:marBottom w:val="0"/>
      <w:divBdr>
        <w:top w:val="none" w:sz="0" w:space="0" w:color="auto"/>
        <w:left w:val="none" w:sz="0" w:space="0" w:color="auto"/>
        <w:bottom w:val="none" w:sz="0" w:space="0" w:color="auto"/>
        <w:right w:val="none" w:sz="0" w:space="0" w:color="auto"/>
      </w:divBdr>
    </w:div>
    <w:div w:id="964233362">
      <w:bodyDiv w:val="1"/>
      <w:marLeft w:val="0"/>
      <w:marRight w:val="0"/>
      <w:marTop w:val="0"/>
      <w:marBottom w:val="0"/>
      <w:divBdr>
        <w:top w:val="none" w:sz="0" w:space="0" w:color="auto"/>
        <w:left w:val="none" w:sz="0" w:space="0" w:color="auto"/>
        <w:bottom w:val="none" w:sz="0" w:space="0" w:color="auto"/>
        <w:right w:val="none" w:sz="0" w:space="0" w:color="auto"/>
      </w:divBdr>
    </w:div>
    <w:div w:id="1033767417">
      <w:bodyDiv w:val="1"/>
      <w:marLeft w:val="0"/>
      <w:marRight w:val="0"/>
      <w:marTop w:val="0"/>
      <w:marBottom w:val="0"/>
      <w:divBdr>
        <w:top w:val="none" w:sz="0" w:space="0" w:color="auto"/>
        <w:left w:val="none" w:sz="0" w:space="0" w:color="auto"/>
        <w:bottom w:val="none" w:sz="0" w:space="0" w:color="auto"/>
        <w:right w:val="none" w:sz="0" w:space="0" w:color="auto"/>
      </w:divBdr>
    </w:div>
    <w:div w:id="1150635771">
      <w:bodyDiv w:val="1"/>
      <w:marLeft w:val="0"/>
      <w:marRight w:val="0"/>
      <w:marTop w:val="0"/>
      <w:marBottom w:val="0"/>
      <w:divBdr>
        <w:top w:val="none" w:sz="0" w:space="0" w:color="auto"/>
        <w:left w:val="none" w:sz="0" w:space="0" w:color="auto"/>
        <w:bottom w:val="none" w:sz="0" w:space="0" w:color="auto"/>
        <w:right w:val="none" w:sz="0" w:space="0" w:color="auto"/>
      </w:divBdr>
    </w:div>
    <w:div w:id="1260525729">
      <w:bodyDiv w:val="1"/>
      <w:marLeft w:val="0"/>
      <w:marRight w:val="0"/>
      <w:marTop w:val="0"/>
      <w:marBottom w:val="0"/>
      <w:divBdr>
        <w:top w:val="none" w:sz="0" w:space="0" w:color="auto"/>
        <w:left w:val="none" w:sz="0" w:space="0" w:color="auto"/>
        <w:bottom w:val="none" w:sz="0" w:space="0" w:color="auto"/>
        <w:right w:val="none" w:sz="0" w:space="0" w:color="auto"/>
      </w:divBdr>
    </w:div>
    <w:div w:id="1341547275">
      <w:bodyDiv w:val="1"/>
      <w:marLeft w:val="0"/>
      <w:marRight w:val="0"/>
      <w:marTop w:val="0"/>
      <w:marBottom w:val="0"/>
      <w:divBdr>
        <w:top w:val="none" w:sz="0" w:space="0" w:color="auto"/>
        <w:left w:val="none" w:sz="0" w:space="0" w:color="auto"/>
        <w:bottom w:val="none" w:sz="0" w:space="0" w:color="auto"/>
        <w:right w:val="none" w:sz="0" w:space="0" w:color="auto"/>
      </w:divBdr>
    </w:div>
    <w:div w:id="1365062462">
      <w:bodyDiv w:val="1"/>
      <w:marLeft w:val="0"/>
      <w:marRight w:val="0"/>
      <w:marTop w:val="0"/>
      <w:marBottom w:val="0"/>
      <w:divBdr>
        <w:top w:val="none" w:sz="0" w:space="0" w:color="auto"/>
        <w:left w:val="none" w:sz="0" w:space="0" w:color="auto"/>
        <w:bottom w:val="none" w:sz="0" w:space="0" w:color="auto"/>
        <w:right w:val="none" w:sz="0" w:space="0" w:color="auto"/>
      </w:divBdr>
    </w:div>
    <w:div w:id="1462771370">
      <w:bodyDiv w:val="1"/>
      <w:marLeft w:val="0"/>
      <w:marRight w:val="0"/>
      <w:marTop w:val="0"/>
      <w:marBottom w:val="0"/>
      <w:divBdr>
        <w:top w:val="none" w:sz="0" w:space="0" w:color="auto"/>
        <w:left w:val="none" w:sz="0" w:space="0" w:color="auto"/>
        <w:bottom w:val="none" w:sz="0" w:space="0" w:color="auto"/>
        <w:right w:val="none" w:sz="0" w:space="0" w:color="auto"/>
      </w:divBdr>
    </w:div>
    <w:div w:id="1547257153">
      <w:bodyDiv w:val="1"/>
      <w:marLeft w:val="0"/>
      <w:marRight w:val="0"/>
      <w:marTop w:val="0"/>
      <w:marBottom w:val="0"/>
      <w:divBdr>
        <w:top w:val="none" w:sz="0" w:space="0" w:color="auto"/>
        <w:left w:val="none" w:sz="0" w:space="0" w:color="auto"/>
        <w:bottom w:val="none" w:sz="0" w:space="0" w:color="auto"/>
        <w:right w:val="none" w:sz="0" w:space="0" w:color="auto"/>
      </w:divBdr>
    </w:div>
    <w:div w:id="1684817909">
      <w:bodyDiv w:val="1"/>
      <w:marLeft w:val="0"/>
      <w:marRight w:val="0"/>
      <w:marTop w:val="0"/>
      <w:marBottom w:val="0"/>
      <w:divBdr>
        <w:top w:val="none" w:sz="0" w:space="0" w:color="auto"/>
        <w:left w:val="none" w:sz="0" w:space="0" w:color="auto"/>
        <w:bottom w:val="none" w:sz="0" w:space="0" w:color="auto"/>
        <w:right w:val="none" w:sz="0" w:space="0" w:color="auto"/>
      </w:divBdr>
    </w:div>
    <w:div w:id="1685326856">
      <w:bodyDiv w:val="1"/>
      <w:marLeft w:val="0"/>
      <w:marRight w:val="0"/>
      <w:marTop w:val="0"/>
      <w:marBottom w:val="0"/>
      <w:divBdr>
        <w:top w:val="none" w:sz="0" w:space="0" w:color="auto"/>
        <w:left w:val="none" w:sz="0" w:space="0" w:color="auto"/>
        <w:bottom w:val="none" w:sz="0" w:space="0" w:color="auto"/>
        <w:right w:val="none" w:sz="0" w:space="0" w:color="auto"/>
      </w:divBdr>
    </w:div>
    <w:div w:id="1690331311">
      <w:bodyDiv w:val="1"/>
      <w:marLeft w:val="0"/>
      <w:marRight w:val="0"/>
      <w:marTop w:val="0"/>
      <w:marBottom w:val="0"/>
      <w:divBdr>
        <w:top w:val="none" w:sz="0" w:space="0" w:color="auto"/>
        <w:left w:val="none" w:sz="0" w:space="0" w:color="auto"/>
        <w:bottom w:val="none" w:sz="0" w:space="0" w:color="auto"/>
        <w:right w:val="none" w:sz="0" w:space="0" w:color="auto"/>
      </w:divBdr>
    </w:div>
    <w:div w:id="1731149505">
      <w:bodyDiv w:val="1"/>
      <w:marLeft w:val="0"/>
      <w:marRight w:val="0"/>
      <w:marTop w:val="0"/>
      <w:marBottom w:val="0"/>
      <w:divBdr>
        <w:top w:val="none" w:sz="0" w:space="0" w:color="auto"/>
        <w:left w:val="none" w:sz="0" w:space="0" w:color="auto"/>
        <w:bottom w:val="none" w:sz="0" w:space="0" w:color="auto"/>
        <w:right w:val="none" w:sz="0" w:space="0" w:color="auto"/>
      </w:divBdr>
    </w:div>
    <w:div w:id="1767462360">
      <w:bodyDiv w:val="1"/>
      <w:marLeft w:val="0"/>
      <w:marRight w:val="0"/>
      <w:marTop w:val="0"/>
      <w:marBottom w:val="0"/>
      <w:divBdr>
        <w:top w:val="none" w:sz="0" w:space="0" w:color="auto"/>
        <w:left w:val="none" w:sz="0" w:space="0" w:color="auto"/>
        <w:bottom w:val="none" w:sz="0" w:space="0" w:color="auto"/>
        <w:right w:val="none" w:sz="0" w:space="0" w:color="auto"/>
      </w:divBdr>
    </w:div>
    <w:div w:id="1867403097">
      <w:bodyDiv w:val="1"/>
      <w:marLeft w:val="0"/>
      <w:marRight w:val="0"/>
      <w:marTop w:val="0"/>
      <w:marBottom w:val="0"/>
      <w:divBdr>
        <w:top w:val="none" w:sz="0" w:space="0" w:color="auto"/>
        <w:left w:val="none" w:sz="0" w:space="0" w:color="auto"/>
        <w:bottom w:val="none" w:sz="0" w:space="0" w:color="auto"/>
        <w:right w:val="none" w:sz="0" w:space="0" w:color="auto"/>
      </w:divBdr>
    </w:div>
    <w:div w:id="1871839590">
      <w:bodyDiv w:val="1"/>
      <w:marLeft w:val="0"/>
      <w:marRight w:val="0"/>
      <w:marTop w:val="0"/>
      <w:marBottom w:val="0"/>
      <w:divBdr>
        <w:top w:val="none" w:sz="0" w:space="0" w:color="auto"/>
        <w:left w:val="none" w:sz="0" w:space="0" w:color="auto"/>
        <w:bottom w:val="none" w:sz="0" w:space="0" w:color="auto"/>
        <w:right w:val="none" w:sz="0" w:space="0" w:color="auto"/>
      </w:divBdr>
    </w:div>
    <w:div w:id="1891959614">
      <w:bodyDiv w:val="1"/>
      <w:marLeft w:val="0"/>
      <w:marRight w:val="0"/>
      <w:marTop w:val="0"/>
      <w:marBottom w:val="0"/>
      <w:divBdr>
        <w:top w:val="none" w:sz="0" w:space="0" w:color="auto"/>
        <w:left w:val="none" w:sz="0" w:space="0" w:color="auto"/>
        <w:bottom w:val="none" w:sz="0" w:space="0" w:color="auto"/>
        <w:right w:val="none" w:sz="0" w:space="0" w:color="auto"/>
      </w:divBdr>
    </w:div>
    <w:div w:id="2000570513">
      <w:bodyDiv w:val="1"/>
      <w:marLeft w:val="0"/>
      <w:marRight w:val="0"/>
      <w:marTop w:val="0"/>
      <w:marBottom w:val="0"/>
      <w:divBdr>
        <w:top w:val="none" w:sz="0" w:space="0" w:color="auto"/>
        <w:left w:val="none" w:sz="0" w:space="0" w:color="auto"/>
        <w:bottom w:val="none" w:sz="0" w:space="0" w:color="auto"/>
        <w:right w:val="none" w:sz="0" w:space="0" w:color="auto"/>
      </w:divBdr>
    </w:div>
    <w:div w:id="20503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4BEC-D8A6-4DC5-ABE1-2AAC099D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Links>
    <vt:vector size="6" baseType="variant">
      <vt:variant>
        <vt:i4>2621472</vt:i4>
      </vt:variant>
      <vt:variant>
        <vt:i4>0</vt:i4>
      </vt:variant>
      <vt:variant>
        <vt:i4>0</vt:i4>
      </vt:variant>
      <vt:variant>
        <vt:i4>5</vt:i4>
      </vt:variant>
      <vt:variant>
        <vt:lpwstr>https://thuvienphapluat.vn/van-ban/Bao-hiem/Luat-bao-hiem-y-te-2008-25-2008-QH12-82196.aspx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AD</cp:lastModifiedBy>
  <cp:revision>5</cp:revision>
  <cp:lastPrinted>2024-09-21T21:02:00Z</cp:lastPrinted>
  <dcterms:created xsi:type="dcterms:W3CDTF">2024-11-30T14:43:00Z</dcterms:created>
  <dcterms:modified xsi:type="dcterms:W3CDTF">2024-11-30T14:57:00Z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0f0e1ab176ba37984b5e115a9583beb16b23b0d7429f0033e455e45668140d61</vt:lpwstr>
  </property>
</Properties>
</file>